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94" w:h="245" w:wrap="none" w:hAnchor="page" w:x="3872" w:y="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5390E4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e.'.-.i.</w:t>
      </w:r>
    </w:p>
    <w:p>
      <w:pPr>
        <w:pStyle w:val="Style5"/>
        <w:keepNext w:val="0"/>
        <w:keepLines w:val="0"/>
        <w:framePr w:w="278" w:h="250" w:wrap="none" w:hAnchor="page" w:x="4002" w:y="6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0)</w:t>
      </w:r>
    </w:p>
    <w:p>
      <w:pPr>
        <w:pStyle w:val="Style8"/>
        <w:keepNext w:val="0"/>
        <w:keepLines w:val="0"/>
        <w:framePr w:w="2280" w:h="302" w:wrap="none" w:hAnchor="page" w:x="4803" w:y="1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spolupráci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85090</wp:posOffset>
            </wp:positionV>
            <wp:extent cx="328930" cy="17081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2893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890" distB="0" distL="0" distR="274320" simplePos="0" relativeHeight="62914691" behindDoc="1" locked="0" layoutInCell="1" allowOverlap="1">
            <wp:simplePos x="0" y="0"/>
            <wp:positionH relativeFrom="page">
              <wp:posOffset>1226820</wp:posOffset>
            </wp:positionH>
            <wp:positionV relativeFrom="margin">
              <wp:posOffset>121920</wp:posOffset>
            </wp:positionV>
            <wp:extent cx="1207135" cy="2374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07135" cy="237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5113020</wp:posOffset>
            </wp:positionH>
            <wp:positionV relativeFrom="margin">
              <wp:posOffset>0</wp:posOffset>
            </wp:positionV>
            <wp:extent cx="2103120" cy="85344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03120" cy="853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10" w:left="996" w:right="536" w:bottom="3172" w:header="0" w:footer="2744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zajištění aktivit Národního programu genetických zdrojů zvířat</w:t>
      </w:r>
      <w:bookmarkEnd w:id="0"/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tbl>
      <w:tblPr>
        <w:tblOverlap w:val="never"/>
        <w:jc w:val="center"/>
        <w:tblLayout w:type="fixed"/>
      </w:tblPr>
      <w:tblGrid>
        <w:gridCol w:w="2587"/>
        <w:gridCol w:w="6322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1) Název organizace: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Rybářství Nové Hrady s.r.o.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Štiptoň 78, 374 01 Nové Hrady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b/>
                <w:bCs/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....................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b/>
                <w:bCs/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</w:t>
            </w:r>
            <w:r>
              <w:rPr>
                <w:b/>
                <w:bCs/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jednatelem společnosti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15789799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CZ15789799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č.ú.: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Registrace: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rejstřík, vedený Krajským soudem v Českých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Budějovicích, oddíl C, vložka 132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Plátce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„Společnost) na straně jedné</w:t>
      </w: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923"/>
        <w:gridCol w:w="5270"/>
      </w:tblGrid>
      <w:tr>
        <w:trPr>
          <w:trHeight w:val="7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2) Název organizace: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1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živočišné výroby v. v. i.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Přátelství 815, 104 00 Praha Uhříněves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b/>
                <w:bCs/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b/>
                <w:bCs/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b/>
                <w:bCs/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b/>
                <w:bCs/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b/>
                <w:bCs/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b/>
                <w:bCs/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​...............</w:t>
            </w:r>
            <w:r>
              <w:rPr>
                <w:b/>
                <w:bCs/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ředitelem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Registrace: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rejstříku v.v.i. MŠMT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Koordinátor úkolu: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620" w:right="0" w:firstLine="0"/>
              <w:jc w:val="left"/>
            </w:pP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00027014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CZ00027014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, č. ú.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Plátce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„VÚŽV“) na straně druhé</w:t>
      </w:r>
    </w:p>
    <w:p>
      <w:pPr>
        <w:widowControl w:val="0"/>
        <w:spacing w:after="25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dnešního dne tuto: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83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10" w:left="1322" w:right="1405" w:bottom="31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o spolupráci při realizaci Národního programu konzervace a využívání genetických zdrojů rostlin, zvířat a mikroorganismů významných pro výživu a zemědělství na období 2023-2027 (dále jen „Národní program“) schváleného Ministerstvem zemědělství pod číslem jednacím MZE-62216/2022-13113 a Akčního plánu Národního programu konzervace a využívání genetických zdrojů rostlin, zvířat a mikroorganismů významných pro výživu a zemědělství na období 2023 - 2027 (dále jen „Akční plán“, „AP“) schváleného Ministerstvem zemědělství pod číslem jednacím MZE-10182/2023-13113.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3" w:val="left"/>
        </w:tabs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spolupráce při zajištění revitalizace šlechtitelského chovu hus genetického zdroje linií drůbeže hybridizačních programů, postiženého mimořádnými veterinárními opatřeními k zamezení šíření aviámí influenzy.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0" w:val="left"/>
        </w:tabs>
        <w:bidi w:val="0"/>
        <w:spacing w:before="0" w:line="283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Závazky smluvních stran</w:t>
      </w:r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Společnost se zavazuje zajistit: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0" w:val="left"/>
        </w:tabs>
        <w:bidi w:val="0"/>
        <w:spacing w:before="0" w:after="820" w:line="283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pokračování revitalizace šlechtitelského chovu hus finálních linií NH 31, NH 32 a NH 33 a regenerace jejich chovných hejn na cílový stav 4800 kusů hus.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2) VÚŽV se zavazuje: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0" w:val="left"/>
        </w:tabs>
        <w:bidi w:val="0"/>
        <w:spacing w:before="0" w:after="4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provádět kontrolu činností dle tohoto či. odst. 1),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2" w:val="left"/>
        </w:tabs>
        <w:bidi w:val="0"/>
        <w:spacing w:before="0" w:after="96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zaplatit řádně a včas cenu sjednanou dle č. III. této smlouvy.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97" w:val="left"/>
        </w:tabs>
        <w:bidi w:val="0"/>
        <w:spacing w:before="0" w:line="28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ujednání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celková cena za činnosti uvedené v čl. II. odst. 1) této smlouvy činí do 400.007 Kč včetně DPH (slovy: čtyři sta tisíc sedm korun českých). Tuto částku není Společnost oprávněna překročit.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Podrobná kalkulace této ceny je uvedena v Příloze č. 1. ktéto smlouvě, která je její nedílnou součástí.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skutečných nákladů v členění podle základních položek na podkladě protokolu podle článku II. této smlouvy se stručným komentářem k jednotlivým položkám je Společnost povinna předložit k odsouhlasení VÚŽV. Po odsouhlasení je Společnost oprávněna vystavit fakturu na úhradu nákladů v souhlasu se schváleným vyúčtováním. Výkaz tvoří přílohu k této faktuře a je její nedílnou součástí.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Nárok na zaplacení celkové ceny vzniká pouze za předpokladu splnění všech závazků Společnosti. Při nesplnění dílčích částí závazku může být celková cena krácena o dílčí část ceny, odpovídající nesplnění závazku. O krácení ceny a důvodech tohoto krácení bude Společnost vyrozuměna.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97" w:val="left"/>
        </w:tabs>
        <w:bidi w:val="0"/>
        <w:spacing w:before="0" w:line="18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Časová ujednání</w:t>
      </w:r>
      <w:bookmarkEnd w:id="8"/>
      <w:bookmarkEnd w:id="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časové posloupnosti činností takto: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Společnost se zavazuje: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86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do 22. 11. 2024 předat VÚŽV zprávu (protokol) o líhnutí v roce 2024 a zprávu o postupu revitalizace finálních linií NH 31, NH 32 a NH 33 (elektronicky ve formátu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.doc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.xls),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2" w:val="left"/>
        </w:tabs>
        <w:bidi w:val="0"/>
        <w:spacing w:before="0" w:after="0" w:line="286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22. 11. 2024 předat VÚŽV ke kontrole a odsouhlasení výkaz skutečných nákladů (elektronicky). Po odsouhlasení je Společnost oprávněna vystavit fakturu na úhradu nákladů v souladu se schváleným vyúčtováním. Výkaz tvoří přílohu k vystavené faktuře a je její nedílnou součástí,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2" w:val="left"/>
        </w:tabs>
        <w:bidi w:val="0"/>
        <w:spacing w:before="0" w:after="740" w:line="286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29. 11. 2024 vystavit fakturu se splatností nejpozději do 6. 12. 2024. Na faktury doručené po 29. 11.2024 nebude brán zřetel a nárok Společnosti na zaplacení ceny zaniká.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převzetí výstupů bude z činnosti podle bodu a) vyhotoven písemný protokol, podepsaný oběma smluvními stranami.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2) VÚŽV se zavazuje: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88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do 27. 11. 2024 zkontrolovat výkaz skutečných nákladů, po jeho odsouhlasení vydá písemný pokyn k vystavení faktury.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4" w:val="left"/>
        </w:tabs>
        <w:bidi w:val="0"/>
        <w:spacing w:before="0" w:after="180" w:line="266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Společnosti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2" w:val="left"/>
        </w:tabs>
        <w:bidi w:val="0"/>
        <w:spacing w:before="0" w:after="100" w:line="293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se zavazuje průběžně racionalizovat práci s genofondem, respektovat přijaté metodické postupy a dohodnutou dělbu práce.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2" w:val="left"/>
        </w:tabs>
        <w:bidi w:val="0"/>
        <w:spacing w:before="0" w:after="100" w:line="266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 průběhu plnění dojde k podstatným změnám skutečností, na jejichž základě je uzavřena tato smlouva a poskytnuty finanční prostředky VÚŽV, je Společnost povinna bez zbytečného odkladu oznámit tyto změny písemně VÚŽV.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2" w:val="left"/>
        </w:tabs>
        <w:bidi w:val="0"/>
        <w:spacing w:before="0" w:after="100" w:line="264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na straně Společnosti nastanou okolnosti, v jejichž důsledku nebude Společnost schopna dočasně či dlouhodobě pokračovat v realizaci činností, je povinna bez zbytečného odkladu informovat VÚŽV a současně navrhnout řešení. Obě smluvní strany se zavazují, že v takovém případě vynaloží veškeré úsilí, které lze na nich objektivně požadovat, k dokončení činností.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2" w:val="left"/>
        </w:tabs>
        <w:bidi w:val="0"/>
        <w:spacing w:before="0" w:after="100" w:line="264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povinna poskytovat požadované informace a umožňovat vstup na pracoviště Společnosti za účelem kontroly v rozsahu stanoveném touto smlouvou VÚŽV, koordinátorovi Národního programu nebo jím pověřeným pracovníkům a dalším subjektům, oprávněným provádět kontrolu.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2" w:val="left"/>
        </w:tabs>
        <w:bidi w:val="0"/>
        <w:spacing w:before="0" w:after="420" w:line="264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má povinnost řídit se veškerými pokyny VÚŽV, pokud nejsou v přímém rozporu se zněním této smlouvy.</w:t>
      </w:r>
    </w:p>
    <w:p>
      <w:pPr>
        <w:pStyle w:val="Style61"/>
        <w:keepNext w:val="0"/>
        <w:keepLines w:val="0"/>
        <w:widowControl w:val="0"/>
        <w:shd w:val="clear" w:color="auto" w:fill="auto"/>
        <w:tabs>
          <w:tab w:leader="underscore" w:pos="153" w:val="left"/>
          <w:tab w:pos="334" w:val="left"/>
          <w:tab w:leader="underscore" w:pos="431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  <w:t xml:space="preserve"> r v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60" w:val="left"/>
        </w:tabs>
        <w:bidi w:val="0"/>
        <w:spacing w:before="0" w:after="180" w:line="18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VUZV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2" w:val="left"/>
        </w:tabs>
        <w:bidi w:val="0"/>
        <w:spacing w:before="0" w:after="100"/>
        <w:ind w:left="72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je povinen zaplatit Společnosti cenu v rozsahu a způsobem uvedeným v této smlouvě.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2" w:val="left"/>
        </w:tabs>
        <w:bidi w:val="0"/>
        <w:spacing w:before="0" w:after="100" w:line="264" w:lineRule="auto"/>
        <w:ind w:left="72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má právo na provádění kontrol na pracovišti Společnosti dle této smlouv, pokud jde o kontrolu realizace činností.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2" w:val="left"/>
        </w:tabs>
        <w:bidi w:val="0"/>
        <w:spacing w:before="0"/>
        <w:ind w:left="72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je oprávněn v průběhu realizace činností se seznamovat s dílčími výsledky a udílet pro další postup prací závazné pokyny.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03" w:val="left"/>
        </w:tabs>
        <w:bidi w:val="0"/>
        <w:spacing w:before="0" w:line="269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plnění smlouvy</w:t>
      </w:r>
      <w:bookmarkEnd w:id="14"/>
      <w:bookmarkEnd w:id="15"/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94" w:val="left"/>
        </w:tabs>
        <w:bidi w:val="0"/>
        <w:spacing w:before="0" w:after="160" w:line="286" w:lineRule="auto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plnění této smlouvy VÚŽV zaměřená na věcné plnění je Společnosti oznámena předem. Termín konání kontroly určí VÚŽV. O průběhu a závěru kontroly se vyhotoví zápis, který podepisují všichni zúčastnění.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94" w:val="left"/>
        </w:tabs>
        <w:bidi w:val="0"/>
        <w:spacing w:before="0" w:after="16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účelem předem oznámeného konání kontroly je Společnost povinna: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08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připravit příslušné podklady umožňující kontrolu,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22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účast odpovědných zástupců,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22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technické podmínky pro uskutečnění kontroly VÚŽV v požadovaném rozsahu,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42" w:val="left"/>
        </w:tabs>
        <w:bidi w:val="0"/>
        <w:spacing w:before="0" w:after="900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přizvat po dohodě s VÚŽV další subjekty, jejichž účast je pro potřeby kontroly nezbytná.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94" w:val="left"/>
        </w:tabs>
        <w:bidi w:val="0"/>
        <w:spacing w:before="0" w:line="283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smlouvy</w:t>
      </w:r>
      <w:bookmarkEnd w:id="16"/>
      <w:bookmarkEnd w:id="1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88" w:lineRule="auto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určitou do 6. 12. 2024. Kjejímu prodloužení lze dojít pouze písemným dodatkem podepsaným oběma smluvními stranami.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line="283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Zvláštní ujednání</w:t>
      </w:r>
      <w:bookmarkEnd w:id="18"/>
      <w:bookmarkEnd w:id="1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64" w:lineRule="auto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Při publikaci výsledků dosažených v rámci realizace činností se Společnost zavazuje vždy uvádět, že výsledky byly získány s finanční účastí MZe ČR v rámci Národního programu.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line="283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Sankce</w:t>
      </w:r>
      <w:bookmarkEnd w:id="20"/>
      <w:bookmarkEnd w:id="21"/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98" w:val="left"/>
        </w:tabs>
        <w:bidi w:val="0"/>
        <w:spacing w:before="0" w:after="160" w:line="283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případě nedodržení smluvní povinnosti Společnosti, spočívající zejména v: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28" w:val="left"/>
        </w:tabs>
        <w:bidi w:val="0"/>
        <w:spacing w:before="0" w:after="0" w:line="266" w:lineRule="auto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nesplnění předmětu smlouvy v rozsahu a způsobu stanoveném touto smlouvou z důvodů na straně Společnosti,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2" w:val="left"/>
        </w:tabs>
        <w:bidi w:val="0"/>
        <w:spacing w:before="0" w:after="80" w:line="266" w:lineRule="auto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prodlení Společnosti s plněním povinností dle čl. IV. odst. 1 písm. a) - b) této smlouvy delším než 7 kalendářních dnů,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88" w:lineRule="auto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VÚŽV pro eventualitu ad a) oprávněn zkrátit finanční prostředky VÚŽV alokované Společnosti a to v poměrné výši k míře plnění za předmětné období a pro eventualitu ad b) o 500,-Kč za každý den prodlení pro každý případ nedodržení termínu dle čl. IV.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83" w:lineRule="auto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ustanovením není dotčen nárok VÚŽV na náhradu škody, která mu v důsledku prodlení Společnosti s plněním podle této smlouvy vznikne.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18" w:val="left"/>
        </w:tabs>
        <w:bidi w:val="0"/>
        <w:spacing w:before="0" w:after="160" w:line="283" w:lineRule="auto"/>
        <w:ind w:left="72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případě, že Společnost bude v prodlení s plněním každé jednotlivé povinností dle čl. IV delším než 3 pracovní dny, je VÚŽV oprávněn od smlouvy odstoupit s tím, že Společnost nemá právo na zaplacení jakékoli finanční náhrady.</w:t>
      </w:r>
      <w:r>
        <w:br w:type="page"/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after="200" w:line="259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Společná a závěrečná ustanovení</w:t>
      </w:r>
      <w:bookmarkEnd w:id="22"/>
      <w:bookmarkEnd w:id="23"/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0" w:val="left"/>
        </w:tabs>
        <w:bidi w:val="0"/>
        <w:spacing w:before="0" w:after="10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může být měněna a doplňována pouze dohodou smluvních stran formou písemného dodatku.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0" w:val="left"/>
        </w:tabs>
        <w:bidi w:val="0"/>
        <w:spacing w:before="0" w:after="10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ukončení trvání této smlouvy písemnou dohodou smluvních stran musí být dohodnuto vyúčtování do té doby vykonaných činností Společností.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3" w:val="left"/>
        </w:tabs>
        <w:bidi w:val="0"/>
        <w:spacing w:before="0" w:after="10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ji v důsledku porušení smluvní povinnosti druhou stranou vznikne.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0" w:val="left"/>
        </w:tabs>
        <w:bidi w:val="0"/>
        <w:spacing w:before="0" w:after="10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z této smlouvy přecházejí na eventuální právní nástupce smluvních stran.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 vztahy z této smlouvy vznikající a vyplývající, pokud nejsou touto smlouvou vysloveně upraveny, se řídí příslušnými právními předpisy.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12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4 stejnopisech, z nichž každý má platnost originálu. Každá smluvní strana obdrží po 2 vyhotoveních.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Praze dne </w:t>
      </w:r>
      <w:r>
        <w:rPr>
          <w:color w:val="5390E4"/>
          <w:spacing w:val="0"/>
          <w:w w:val="100"/>
          <w:position w:val="0"/>
          <w:shd w:val="clear" w:color="auto" w:fill="auto"/>
          <w:lang w:val="cs-CZ" w:eastAsia="cs-CZ" w:bidi="cs-CZ"/>
        </w:rPr>
        <w:t>/X' /'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drawing>
          <wp:anchor distT="0" distB="173990" distL="114300" distR="141605" simplePos="0" relativeHeight="125829378" behindDoc="0" locked="0" layoutInCell="1" allowOverlap="1">
            <wp:simplePos x="0" y="0"/>
            <wp:positionH relativeFrom="page">
              <wp:posOffset>889635</wp:posOffset>
            </wp:positionH>
            <wp:positionV relativeFrom="paragraph">
              <wp:posOffset>317500</wp:posOffset>
            </wp:positionV>
            <wp:extent cx="2035810" cy="24384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35810" cy="243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561340</wp:posOffset>
                </wp:positionV>
                <wp:extent cx="1700530" cy="17081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80" w:val="left"/>
                                <w:tab w:pos="1392" w:val="left"/>
                                <w:tab w:pos="235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1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en-US" w:eastAsia="en-US" w:bidi="en-US"/>
                              </w:rPr>
                              <w:t>..........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en-US" w:eastAsia="en-US" w:bidi="en-US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​..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98.599999999999994pt;margin-top:44.200000000000003pt;width:133.90000000000001pt;height:13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80" w:val="left"/>
                          <w:tab w:pos="1392" w:val="left"/>
                          <w:tab w:pos="235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8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1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en-US" w:eastAsia="en-US" w:bidi="en-US"/>
                        </w:rPr>
                        <w:t>..........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en-US" w:eastAsia="en-US" w:bidi="en-US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​..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94945" distB="387350" distL="168910" distR="330835" simplePos="0" relativeHeight="125829379" behindDoc="0" locked="0" layoutInCell="1" allowOverlap="1">
            <wp:simplePos x="0" y="0"/>
            <wp:positionH relativeFrom="page">
              <wp:posOffset>4119880</wp:posOffset>
            </wp:positionH>
            <wp:positionV relativeFrom="paragraph">
              <wp:posOffset>207645</wp:posOffset>
            </wp:positionV>
            <wp:extent cx="2023745" cy="956945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023745" cy="956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4387850</wp:posOffset>
                </wp:positionH>
                <wp:positionV relativeFrom="paragraph">
                  <wp:posOffset>12700</wp:posOffset>
                </wp:positionV>
                <wp:extent cx="941705" cy="19177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5.5pt;margin-top:1.pt;width:74.150000000000006pt;height:15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521335</wp:posOffset>
                </wp:positionV>
                <wp:extent cx="570230" cy="17081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63.5pt;margin-top:41.049999999999997pt;width:44.899999999999999pt;height:13.44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1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1176655</wp:posOffset>
                </wp:positionV>
                <wp:extent cx="2294890" cy="37211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94890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Rybářství Nové Hrady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0.10000000000002pt;margin-top:92.650000000000006pt;width:180.69999999999999pt;height:29.3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b/>
                          <w:bCs/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</w:t>
                      </w:r>
                      <w:r>
                        <w:rPr>
                          <w:b/>
                          <w:bCs/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Rybářství Nové Hrady s.r.o.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514985" distB="426720" distL="1266190" distR="214630" simplePos="0" relativeHeight="125829380" behindDoc="0" locked="0" layoutInCell="1" allowOverlap="1">
                <wp:simplePos x="0" y="0"/>
                <wp:positionH relativeFrom="page">
                  <wp:posOffset>5217160</wp:posOffset>
                </wp:positionH>
                <wp:positionV relativeFrom="paragraph">
                  <wp:posOffset>527685</wp:posOffset>
                </wp:positionV>
                <wp:extent cx="1042670" cy="594360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267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.......​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​..​.........​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​..............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1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1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10.80000000000001pt;margin-top:41.549999999999997pt;width:82.099999999999994pt;height:46.799999999999997pt;z-index:-125829373;mso-wrap-distance-left:99.700000000000003pt;mso-wrap-distance-top:40.549999999999997pt;mso-wrap-distance-right:16.899999999999999pt;mso-wrap-distance-bottom:33.600000000000001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.......​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​..​.........​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​..............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1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1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VÚŽV:</w:t>
      </w:r>
    </w:p>
    <w:p>
      <w:pPr>
        <w:pStyle w:val="Style64"/>
        <w:keepNext/>
        <w:keepLines/>
        <w:widowControl w:val="0"/>
        <w:shd w:val="clear" w:color="auto" w:fill="auto"/>
        <w:tabs>
          <w:tab w:leader="dot" w:pos="3322" w:val="left"/>
        </w:tabs>
        <w:bidi w:val="0"/>
        <w:spacing w:after="0" w:line="240" w:lineRule="auto"/>
        <w:ind w:left="0" w:right="0" w:firstLine="0"/>
        <w:jc w:val="left"/>
      </w:pPr>
      <w:r>
        <w:rPr>
          <w:color w:val="000000"/>
          <w:spacing w:val="12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3"/>
          <w:w w:val="100"/>
          <w:position w:val="0"/>
          <w:shd w:val="clear" w:color="auto" w:fill="000000"/>
          <w:lang w:val="cs-CZ" w:eastAsia="cs-CZ" w:bidi="cs-CZ"/>
        </w:rPr>
        <w:t>.......</w:t>
      </w:r>
      <w:bookmarkStart w:id="24" w:name="bookmark24"/>
      <w:bookmarkStart w:id="25" w:name="bookmark25"/>
      <w:r>
        <w:rPr>
          <w:color w:val="000000"/>
          <w:spacing w:val="8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9"/>
          <w:w w:val="100"/>
          <w:position w:val="0"/>
          <w:shd w:val="clear" w:color="auto" w:fill="000000"/>
          <w:lang w:val="cs-CZ" w:eastAsia="cs-CZ" w:bidi="cs-CZ"/>
        </w:rPr>
        <w:t>...</w:t>
      </w:r>
      <w:bookmarkEnd w:id="24"/>
      <w:bookmarkEnd w:id="2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10" w:left="1434" w:right="1264" w:bottom="1780" w:header="0" w:footer="1352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b/>
          <w:bCs/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b/>
          <w:b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</w:t>
      </w:r>
      <w:r>
        <w:rPr>
          <w:b/>
          <w:bCs/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</w:t>
      </w:r>
      <w:r>
        <w:rPr>
          <w:b/>
          <w:b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b/>
          <w:bCs/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............</w:t>
      </w:r>
      <w:r>
        <w:rPr>
          <w:b/>
          <w:bCs/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.....</w:t>
      </w:r>
    </w:p>
    <w:p>
      <w:pPr>
        <w:widowControl w:val="0"/>
        <w:spacing w:line="1" w:lineRule="exact"/>
      </w:pPr>
      <w:r>
        <w:drawing>
          <wp:anchor distT="0" distB="88900" distL="114300" distR="114300" simplePos="0" relativeHeight="125829382" behindDoc="0" locked="0" layoutInCell="1" allowOverlap="1">
            <wp:simplePos x="0" y="0"/>
            <wp:positionH relativeFrom="page">
              <wp:posOffset>6440170</wp:posOffset>
            </wp:positionH>
            <wp:positionV relativeFrom="paragraph">
              <wp:posOffset>12700</wp:posOffset>
            </wp:positionV>
            <wp:extent cx="658495" cy="43307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58495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3102610</wp:posOffset>
            </wp:positionH>
            <wp:positionV relativeFrom="margin">
              <wp:posOffset>4145280</wp:posOffset>
            </wp:positionV>
            <wp:extent cx="2334895" cy="126809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334895" cy="1268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4931410</wp:posOffset>
            </wp:positionV>
            <wp:extent cx="1115695" cy="65214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115695" cy="6521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</w:t>
      </w:r>
      <w:bookmarkEnd w:id="26"/>
      <w:bookmarkEnd w:id="2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Předběžná kalkulace prací na koordinaci a realizaci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Národního programu konzervace a využívání genetických zdrojů pro zemědělství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Rybářství Nové Hrady s.r.o. pro rok 2024</w:t>
      </w:r>
    </w:p>
    <w:tbl>
      <w:tblPr>
        <w:tblOverlap w:val="never"/>
        <w:jc w:val="center"/>
        <w:tblLayout w:type="fixed"/>
      </w:tblPr>
      <w:tblGrid>
        <w:gridCol w:w="7853"/>
        <w:gridCol w:w="1550"/>
      </w:tblGrid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revitalizace šlechtitelského chovu hus finálních linií NH 31, NH 32 a NH 33 a regenerace jejich chovných hejn. Minimálně 1900 kusů zvířat odchovu po 210,53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400.007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předpokládané náklady včetně DPH.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400.007 Kě</w:t>
            </w:r>
          </w:p>
        </w:tc>
      </w:tr>
    </w:tbl>
    <w:p>
      <w:pPr>
        <w:widowControl w:val="0"/>
        <w:spacing w:after="24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Praze dne </w:t>
      </w:r>
      <w:r>
        <w:rPr>
          <w:color w:val="5390E4"/>
          <w:spacing w:val="0"/>
          <w:w w:val="100"/>
          <w:position w:val="0"/>
          <w:shd w:val="clear" w:color="auto" w:fill="auto"/>
          <w:lang w:val="cs-CZ" w:eastAsia="cs-CZ" w:bidi="cs-CZ"/>
        </w:rPr>
        <w:t>4^-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448" w:left="1392" w:right="1062" w:bottom="7182" w:header="0" w:footer="6754" w:gutter="0"/>
          <w:cols w:space="720"/>
          <w:noEndnote/>
          <w:rtlGutter w:val="0"/>
          <w:docGrid w:linePitch="360"/>
        </w:sectPr>
      </w:pP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VÚÍN: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8" w:left="0" w:right="0" w:bottom="718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604" w:line="1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1322705</wp:posOffset>
            </wp:positionH>
            <wp:positionV relativeFrom="paragraph">
              <wp:posOffset>12700</wp:posOffset>
            </wp:positionV>
            <wp:extent cx="1652270" cy="38417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652270" cy="384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8" w:left="1392" w:right="726" w:bottom="718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8" w:left="0" w:right="0" w:bottom="44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12700</wp:posOffset>
                </wp:positionV>
                <wp:extent cx="1292225" cy="365760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7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70.299999999999997pt;margin-top:1.pt;width:101.75pt;height:28.80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b/>
                          <w:bCs/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b/>
                          <w:bCs/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b/>
                          <w:bCs/>
                          <w:color w:val="000000"/>
                          <w:spacing w:val="7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1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6"/>
          <w:w w:val="100"/>
          <w:position w:val="0"/>
          <w:shd w:val="clear" w:color="auto" w:fill="000000"/>
          <w:lang w:val="cs-CZ" w:eastAsia="cs-CZ" w:bidi="cs-CZ"/>
        </w:rPr>
        <w:t>.</w:t>
      </w: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</w:t>
      </w:r>
      <w:bookmarkEnd w:id="28"/>
      <w:bookmarkEnd w:id="2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20" w:right="0" w:firstLine="0"/>
        <w:jc w:val="left"/>
      </w:pP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​...........​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48" w:left="3441" w:right="1061" w:bottom="44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icture caption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Body text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90E4"/>
      <w:sz w:val="18"/>
      <w:szCs w:val="18"/>
      <w:u w:val="none"/>
    </w:rPr>
  </w:style>
  <w:style w:type="character" w:customStyle="1" w:styleId="CharStyle9">
    <w:name w:val="Body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Heading #2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able caption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Other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9">
    <w:name w:val="Body text (3)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color w:val="5390E4"/>
      <w:sz w:val="18"/>
      <w:szCs w:val="18"/>
      <w:u w:val="none"/>
    </w:rPr>
  </w:style>
  <w:style w:type="character" w:customStyle="1" w:styleId="CharStyle62">
    <w:name w:val="Body text (4)_"/>
    <w:basedOn w:val="DefaultParagraphFont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65">
    <w:name w:val="Heading #1_"/>
    <w:basedOn w:val="DefaultParagraphFont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262" w:lineRule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90E4"/>
      <w:sz w:val="18"/>
      <w:szCs w:val="18"/>
      <w:u w:val="none"/>
    </w:rPr>
  </w:style>
  <w:style w:type="paragraph" w:styleId="Style8">
    <w:name w:val="Body text"/>
    <w:basedOn w:val="Normal"/>
    <w:link w:val="CharStyle9"/>
    <w:qFormat/>
    <w:pPr>
      <w:widowControl w:val="0"/>
      <w:shd w:val="clear" w:color="auto" w:fill="FFFFFF"/>
      <w:spacing w:after="140" w:line="26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spacing w:after="16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Other"/>
    <w:basedOn w:val="Normal"/>
    <w:link w:val="CharStyle16"/>
    <w:pPr>
      <w:widowControl w:val="0"/>
      <w:shd w:val="clear" w:color="auto" w:fill="FFFFFF"/>
      <w:spacing w:after="140" w:line="26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8">
    <w:name w:val="Body text (3)"/>
    <w:basedOn w:val="Normal"/>
    <w:link w:val="CharStyle49"/>
    <w:pPr>
      <w:widowControl w:val="0"/>
      <w:shd w:val="clear" w:color="auto" w:fill="FFFFFF"/>
      <w:spacing w:line="262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390E4"/>
      <w:sz w:val="18"/>
      <w:szCs w:val="18"/>
      <w:u w:val="none"/>
    </w:rPr>
  </w:style>
  <w:style w:type="paragraph" w:customStyle="1" w:styleId="Style61">
    <w:name w:val="Body text (4)"/>
    <w:basedOn w:val="Normal"/>
    <w:link w:val="CharStyle62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64">
    <w:name w:val="Heading #1"/>
    <w:basedOn w:val="Normal"/>
    <w:link w:val="CharStyle65"/>
    <w:pPr>
      <w:widowControl w:val="0"/>
      <w:shd w:val="clear" w:color="auto" w:fill="FFFFFF"/>
      <w:spacing w:before="1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