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419933B9"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xml:space="preserve">: </w:t>
      </w:r>
      <w:r w:rsidR="00576B26">
        <w:rPr>
          <w:rFonts w:ascii="Arial" w:hAnsi="Arial" w:cs="Arial"/>
          <w:sz w:val="22"/>
          <w:szCs w:val="22"/>
        </w:rPr>
        <w:t>S-0086/00410047/2024</w:t>
      </w:r>
    </w:p>
    <w:p w14:paraId="33D3FCD5" w14:textId="0EE76BD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524F90">
        <w:rPr>
          <w:rFonts w:ascii="Arial" w:hAnsi="Arial" w:cs="Arial"/>
          <w:sz w:val="22"/>
          <w:szCs w:val="22"/>
        </w:rPr>
        <w:t>587/2024</w:t>
      </w:r>
    </w:p>
    <w:p w14:paraId="6697539D" w14:textId="77777777" w:rsidR="000E102E" w:rsidRPr="00C522FA" w:rsidRDefault="000E102E" w:rsidP="00C522FA">
      <w:pPr>
        <w:autoSpaceDE w:val="0"/>
        <w:ind w:left="360"/>
        <w:jc w:val="center"/>
        <w:rPr>
          <w:rFonts w:ascii="Arial" w:hAnsi="Arial"/>
          <w:b/>
          <w:sz w:val="22"/>
        </w:rPr>
      </w:pPr>
    </w:p>
    <w:p w14:paraId="566F9EE0" w14:textId="36A88D12" w:rsidR="00FD2C09" w:rsidRDefault="002E459E" w:rsidP="006118A4">
      <w:pPr>
        <w:autoSpaceDE w:val="0"/>
        <w:ind w:left="360"/>
        <w:jc w:val="center"/>
        <w:rPr>
          <w:rFonts w:ascii="Arial" w:hAnsi="Arial" w:cs="Arial"/>
          <w:b/>
          <w:bCs/>
          <w:sz w:val="28"/>
          <w:szCs w:val="22"/>
        </w:rPr>
      </w:pPr>
      <w:r>
        <w:rPr>
          <w:rFonts w:ascii="Arial" w:hAnsi="Arial" w:cs="Arial"/>
          <w:b/>
          <w:bCs/>
          <w:sz w:val="28"/>
          <w:szCs w:val="22"/>
        </w:rPr>
        <w:t>„</w:t>
      </w:r>
      <w:bookmarkStart w:id="0" w:name="_Hlk145688936"/>
      <w:r w:rsidR="00933A34" w:rsidRPr="00933A34">
        <w:rPr>
          <w:rFonts w:ascii="Arial" w:hAnsi="Arial" w:cs="Arial"/>
          <w:b/>
          <w:bCs/>
          <w:sz w:val="28"/>
          <w:szCs w:val="22"/>
        </w:rPr>
        <w:t>Výstavba nové vstupní budovy v areálu Muzea lidových staveb v Kouřimi</w:t>
      </w:r>
      <w:bookmarkEnd w:id="0"/>
      <w:r w:rsidR="0086600E" w:rsidRPr="0086600E">
        <w:rPr>
          <w:rFonts w:ascii="Arial" w:hAnsi="Arial" w:cs="Arial"/>
          <w:b/>
          <w:bCs/>
          <w:sz w:val="28"/>
          <w:szCs w:val="22"/>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38DDBB25" w14:textId="51938970" w:rsidR="00B30108" w:rsidRPr="00B30108" w:rsidRDefault="00933A34" w:rsidP="00B30108">
      <w:pPr>
        <w:widowControl/>
        <w:autoSpaceDN w:val="0"/>
        <w:spacing w:before="120" w:after="120" w:line="276" w:lineRule="auto"/>
        <w:jc w:val="left"/>
        <w:rPr>
          <w:rFonts w:ascii="Arial" w:hAnsi="Arial" w:cs="Arial"/>
          <w:b/>
          <w:kern w:val="3"/>
          <w:sz w:val="22"/>
          <w:szCs w:val="22"/>
        </w:rPr>
      </w:pPr>
      <w:r w:rsidRPr="00933A34">
        <w:rPr>
          <w:rFonts w:ascii="Arial" w:hAnsi="Arial" w:cs="Arial"/>
          <w:b/>
          <w:kern w:val="3"/>
          <w:sz w:val="22"/>
          <w:szCs w:val="22"/>
        </w:rPr>
        <w:t xml:space="preserve">Regionální muzeum v Kolíně, </w:t>
      </w:r>
      <w:proofErr w:type="spellStart"/>
      <w:r w:rsidRPr="00933A34">
        <w:rPr>
          <w:rFonts w:ascii="Arial" w:hAnsi="Arial" w:cs="Arial"/>
          <w:b/>
          <w:kern w:val="3"/>
          <w:sz w:val="22"/>
          <w:szCs w:val="22"/>
        </w:rPr>
        <w:t>p.o</w:t>
      </w:r>
      <w:proofErr w:type="spellEnd"/>
      <w:r w:rsidRPr="00933A34">
        <w:rPr>
          <w:rFonts w:ascii="Arial" w:hAnsi="Arial" w:cs="Arial"/>
          <w:b/>
          <w:kern w:val="3"/>
          <w:sz w:val="22"/>
          <w:szCs w:val="22"/>
        </w:rPr>
        <w:t>.</w:t>
      </w:r>
    </w:p>
    <w:p w14:paraId="2D61509C" w14:textId="784ABD91"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933A34" w:rsidRPr="00933A34">
        <w:rPr>
          <w:rFonts w:ascii="Arial" w:hAnsi="Arial" w:cs="Arial"/>
          <w:kern w:val="3"/>
          <w:sz w:val="22"/>
          <w:szCs w:val="22"/>
        </w:rPr>
        <w:t xml:space="preserve">Mgr. Vladimírem </w:t>
      </w:r>
      <w:proofErr w:type="spellStart"/>
      <w:r w:rsidR="00933A34" w:rsidRPr="00933A34">
        <w:rPr>
          <w:rFonts w:ascii="Arial" w:hAnsi="Arial" w:cs="Arial"/>
          <w:kern w:val="3"/>
          <w:sz w:val="22"/>
          <w:szCs w:val="22"/>
        </w:rPr>
        <w:t>Rišlinkem</w:t>
      </w:r>
      <w:proofErr w:type="spellEnd"/>
      <w:r w:rsidR="00933A34" w:rsidRPr="00933A34">
        <w:rPr>
          <w:rFonts w:ascii="Arial" w:hAnsi="Arial" w:cs="Arial"/>
          <w:kern w:val="3"/>
          <w:sz w:val="22"/>
          <w:szCs w:val="22"/>
        </w:rPr>
        <w:t>, ředitelem</w:t>
      </w:r>
      <w:r w:rsidRPr="00B30108">
        <w:rPr>
          <w:rFonts w:ascii="Arial" w:hAnsi="Arial" w:cs="Arial"/>
          <w:kern w:val="3"/>
          <w:sz w:val="22"/>
          <w:szCs w:val="22"/>
        </w:rPr>
        <w:t xml:space="preserve"> </w:t>
      </w:r>
    </w:p>
    <w:p w14:paraId="095E462B" w14:textId="44F52872"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933A34" w:rsidRPr="00933A34">
        <w:rPr>
          <w:rFonts w:ascii="Arial" w:hAnsi="Arial" w:cs="Arial"/>
          <w:bCs/>
          <w:kern w:val="3"/>
          <w:sz w:val="22"/>
          <w:szCs w:val="22"/>
          <w:lang w:bidi="cs-CZ"/>
        </w:rPr>
        <w:t>00410047</w:t>
      </w:r>
    </w:p>
    <w:p w14:paraId="00B69CC4" w14:textId="51702BA4"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933A34" w:rsidRPr="00933A34">
        <w:rPr>
          <w:rFonts w:ascii="Arial" w:hAnsi="Arial" w:cs="Arial"/>
          <w:bCs/>
          <w:kern w:val="3"/>
          <w:sz w:val="22"/>
          <w:szCs w:val="22"/>
          <w:lang w:bidi="cs-CZ"/>
        </w:rPr>
        <w:t>Karlovo nám. 8,</w:t>
      </w:r>
      <w:r w:rsidR="00933A34">
        <w:rPr>
          <w:rFonts w:ascii="Arial" w:hAnsi="Arial" w:cs="Arial"/>
          <w:bCs/>
          <w:kern w:val="3"/>
          <w:sz w:val="22"/>
          <w:szCs w:val="22"/>
          <w:lang w:bidi="cs-CZ"/>
        </w:rPr>
        <w:t xml:space="preserve"> 280 02</w:t>
      </w:r>
      <w:r w:rsidR="00933A34" w:rsidRPr="00933A34">
        <w:rPr>
          <w:rFonts w:ascii="Arial" w:hAnsi="Arial" w:cs="Arial"/>
          <w:bCs/>
          <w:kern w:val="3"/>
          <w:sz w:val="22"/>
          <w:szCs w:val="22"/>
          <w:lang w:bidi="cs-CZ"/>
        </w:rPr>
        <w:t xml:space="preserve"> Kolín</w:t>
      </w:r>
    </w:p>
    <w:p w14:paraId="78A8C711" w14:textId="367DD4EA"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Bankovní spojení: </w:t>
      </w:r>
      <w:proofErr w:type="spellStart"/>
      <w:r w:rsidR="00576B26">
        <w:rPr>
          <w:rFonts w:ascii="Arial" w:hAnsi="Arial" w:cs="Arial"/>
          <w:sz w:val="22"/>
          <w:szCs w:val="22"/>
        </w:rPr>
        <w:t>xxxx</w:t>
      </w:r>
      <w:proofErr w:type="spellEnd"/>
    </w:p>
    <w:p w14:paraId="7DE9DC65" w14:textId="33D3F2DD"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Číslo účtu: </w:t>
      </w:r>
      <w:proofErr w:type="spellStart"/>
      <w:r w:rsidR="00576B26">
        <w:rPr>
          <w:rFonts w:ascii="Arial" w:hAnsi="Arial" w:cs="Arial"/>
          <w:sz w:val="22"/>
          <w:szCs w:val="22"/>
        </w:rPr>
        <w:t>xxxxx</w:t>
      </w:r>
      <w:proofErr w:type="spellEnd"/>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14DFEE6C" w:rsidR="000E102E" w:rsidRPr="00084B7D" w:rsidRDefault="00084B7D" w:rsidP="007D5756">
      <w:pPr>
        <w:autoSpaceDE w:val="0"/>
        <w:spacing w:line="320" w:lineRule="atLeast"/>
        <w:ind w:left="360" w:hanging="360"/>
        <w:rPr>
          <w:rFonts w:ascii="Arial" w:hAnsi="Arial" w:cs="Arial"/>
          <w:sz w:val="22"/>
          <w:szCs w:val="22"/>
          <w:lang w:eastAsia="cs-CZ"/>
        </w:rPr>
      </w:pPr>
      <w:r w:rsidRPr="00084B7D">
        <w:rPr>
          <w:rFonts w:ascii="Arial" w:hAnsi="Arial" w:cs="Arial"/>
          <w:sz w:val="22"/>
          <w:szCs w:val="22"/>
          <w:lang w:eastAsia="cs-CZ"/>
        </w:rPr>
        <w:t>BFK service a.s.</w:t>
      </w:r>
    </w:p>
    <w:p w14:paraId="15E1611E" w14:textId="77777777" w:rsidR="00084B7D" w:rsidRPr="00084B7D" w:rsidRDefault="00084B7D" w:rsidP="007D5756">
      <w:pPr>
        <w:autoSpaceDE w:val="0"/>
        <w:spacing w:line="320" w:lineRule="atLeast"/>
        <w:rPr>
          <w:rFonts w:ascii="Arial" w:hAnsi="Arial" w:cs="Arial"/>
          <w:sz w:val="22"/>
          <w:szCs w:val="22"/>
        </w:rPr>
      </w:pPr>
      <w:r w:rsidRPr="00084B7D">
        <w:rPr>
          <w:rFonts w:ascii="Arial" w:hAnsi="Arial" w:cs="Arial"/>
          <w:sz w:val="22"/>
          <w:szCs w:val="22"/>
          <w:lang w:eastAsia="cs-CZ"/>
        </w:rPr>
        <w:t>sídlo:</w:t>
      </w:r>
      <w:r w:rsidRPr="00084B7D">
        <w:rPr>
          <w:rFonts w:ascii="Arial" w:hAnsi="Arial" w:cs="Arial"/>
          <w:sz w:val="22"/>
          <w:szCs w:val="22"/>
          <w:lang w:eastAsia="cs-CZ"/>
        </w:rPr>
        <w:tab/>
      </w:r>
      <w:r w:rsidRPr="00084B7D">
        <w:rPr>
          <w:rFonts w:ascii="Arial" w:hAnsi="Arial" w:cs="Arial"/>
          <w:sz w:val="22"/>
          <w:szCs w:val="22"/>
          <w:lang w:eastAsia="cs-CZ"/>
        </w:rPr>
        <w:tab/>
        <w:t>Komenského nám. 54, 281 44 Zásmuky</w:t>
      </w:r>
      <w:r w:rsidRPr="00084B7D">
        <w:rPr>
          <w:rFonts w:ascii="Arial" w:hAnsi="Arial" w:cs="Arial"/>
          <w:sz w:val="22"/>
          <w:szCs w:val="22"/>
        </w:rPr>
        <w:t xml:space="preserve"> </w:t>
      </w:r>
    </w:p>
    <w:p w14:paraId="6CD3495A" w14:textId="26728A0B" w:rsidR="000E102E" w:rsidRPr="00084B7D" w:rsidRDefault="000E102E" w:rsidP="007D5756">
      <w:pPr>
        <w:autoSpaceDE w:val="0"/>
        <w:spacing w:line="320" w:lineRule="atLeast"/>
        <w:rPr>
          <w:rFonts w:ascii="Arial" w:hAnsi="Arial" w:cs="Arial"/>
          <w:sz w:val="22"/>
          <w:szCs w:val="22"/>
        </w:rPr>
      </w:pPr>
      <w:r w:rsidRPr="00084B7D">
        <w:rPr>
          <w:rFonts w:ascii="Arial" w:hAnsi="Arial" w:cs="Arial"/>
          <w:sz w:val="22"/>
          <w:szCs w:val="22"/>
        </w:rPr>
        <w:t xml:space="preserve">zapsaný v obchodním rejstříku vedeném </w:t>
      </w:r>
      <w:r w:rsidR="00084B7D" w:rsidRPr="00084B7D">
        <w:rPr>
          <w:rFonts w:ascii="Arial" w:hAnsi="Arial" w:cs="Arial"/>
          <w:sz w:val="22"/>
          <w:szCs w:val="22"/>
        </w:rPr>
        <w:t>Městským</w:t>
      </w:r>
      <w:r w:rsidR="00FD2C09" w:rsidRPr="00084B7D">
        <w:rPr>
          <w:rFonts w:ascii="Arial" w:hAnsi="Arial" w:cs="Arial"/>
          <w:sz w:val="22"/>
          <w:szCs w:val="22"/>
        </w:rPr>
        <w:t xml:space="preserve"> </w:t>
      </w:r>
      <w:r w:rsidRPr="00084B7D">
        <w:rPr>
          <w:rFonts w:ascii="Arial" w:hAnsi="Arial" w:cs="Arial"/>
          <w:sz w:val="22"/>
          <w:szCs w:val="22"/>
        </w:rPr>
        <w:t xml:space="preserve">soudem v </w:t>
      </w:r>
      <w:r w:rsidR="00084B7D" w:rsidRPr="00084B7D">
        <w:rPr>
          <w:rFonts w:ascii="Arial" w:hAnsi="Arial" w:cs="Arial"/>
          <w:sz w:val="22"/>
          <w:szCs w:val="22"/>
        </w:rPr>
        <w:t>Praze</w:t>
      </w:r>
      <w:r w:rsidRPr="00084B7D">
        <w:rPr>
          <w:rFonts w:ascii="Arial" w:hAnsi="Arial" w:cs="Arial"/>
          <w:sz w:val="22"/>
          <w:szCs w:val="22"/>
        </w:rPr>
        <w:t xml:space="preserve"> v oddíle </w:t>
      </w:r>
      <w:r w:rsidR="00084B7D" w:rsidRPr="00084B7D">
        <w:rPr>
          <w:rFonts w:ascii="Arial" w:hAnsi="Arial" w:cs="Arial"/>
          <w:sz w:val="22"/>
          <w:szCs w:val="22"/>
        </w:rPr>
        <w:t>B,</w:t>
      </w:r>
      <w:r w:rsidRPr="00084B7D">
        <w:rPr>
          <w:rFonts w:ascii="Arial" w:hAnsi="Arial" w:cs="Arial"/>
          <w:sz w:val="22"/>
          <w:szCs w:val="22"/>
        </w:rPr>
        <w:t xml:space="preserve"> vložka </w:t>
      </w:r>
      <w:r w:rsidR="00084B7D" w:rsidRPr="00084B7D">
        <w:rPr>
          <w:rFonts w:ascii="Arial" w:hAnsi="Arial" w:cs="Arial"/>
          <w:sz w:val="22"/>
          <w:szCs w:val="22"/>
        </w:rPr>
        <w:t>9379</w:t>
      </w:r>
    </w:p>
    <w:p w14:paraId="00B1FF21" w14:textId="1AE57FA4" w:rsidR="000E102E" w:rsidRPr="00084B7D" w:rsidRDefault="000E102E" w:rsidP="007D5756">
      <w:pPr>
        <w:autoSpaceDE w:val="0"/>
        <w:spacing w:line="320" w:lineRule="atLeast"/>
        <w:ind w:left="360" w:hanging="360"/>
        <w:rPr>
          <w:rFonts w:ascii="Arial" w:hAnsi="Arial" w:cs="Arial"/>
          <w:sz w:val="22"/>
          <w:szCs w:val="22"/>
        </w:rPr>
      </w:pPr>
      <w:r w:rsidRPr="00084B7D">
        <w:rPr>
          <w:rFonts w:ascii="Arial" w:hAnsi="Arial" w:cs="Arial"/>
          <w:sz w:val="22"/>
          <w:szCs w:val="22"/>
        </w:rPr>
        <w:t xml:space="preserve">jednající </w:t>
      </w:r>
      <w:r w:rsidR="00084B7D" w:rsidRPr="00084B7D">
        <w:rPr>
          <w:rFonts w:ascii="Arial" w:hAnsi="Arial" w:cs="Arial"/>
          <w:sz w:val="22"/>
          <w:szCs w:val="22"/>
        </w:rPr>
        <w:t>Ing. Jiřím Fořtem, členem představenstva</w:t>
      </w:r>
    </w:p>
    <w:p w14:paraId="47954B29" w14:textId="74CD37ED" w:rsidR="000E102E" w:rsidRPr="00084B7D" w:rsidRDefault="000E102E" w:rsidP="007D5756">
      <w:pPr>
        <w:autoSpaceDE w:val="0"/>
        <w:spacing w:line="320" w:lineRule="atLeast"/>
        <w:ind w:left="360" w:hanging="360"/>
        <w:rPr>
          <w:rFonts w:ascii="Arial" w:hAnsi="Arial" w:cs="Arial"/>
          <w:sz w:val="22"/>
          <w:szCs w:val="22"/>
        </w:rPr>
      </w:pPr>
      <w:r w:rsidRPr="00084B7D">
        <w:rPr>
          <w:rFonts w:ascii="Arial" w:hAnsi="Arial" w:cs="Arial"/>
          <w:sz w:val="22"/>
          <w:szCs w:val="22"/>
        </w:rPr>
        <w:t>IČ</w:t>
      </w:r>
      <w:r w:rsidR="00120649" w:rsidRPr="00084B7D">
        <w:rPr>
          <w:rFonts w:ascii="Arial" w:hAnsi="Arial" w:cs="Arial"/>
          <w:sz w:val="22"/>
          <w:szCs w:val="22"/>
        </w:rPr>
        <w:t>O</w:t>
      </w:r>
      <w:r w:rsidRPr="00084B7D">
        <w:rPr>
          <w:rFonts w:ascii="Arial" w:hAnsi="Arial" w:cs="Arial"/>
          <w:sz w:val="22"/>
          <w:szCs w:val="22"/>
        </w:rPr>
        <w:t xml:space="preserve">:    </w:t>
      </w:r>
      <w:r w:rsidR="00084B7D" w:rsidRPr="00084B7D">
        <w:rPr>
          <w:rFonts w:ascii="Arial" w:hAnsi="Arial" w:cs="Arial"/>
          <w:sz w:val="22"/>
          <w:szCs w:val="22"/>
        </w:rPr>
        <w:t>27155153</w:t>
      </w:r>
      <w:r w:rsidRPr="00084B7D">
        <w:rPr>
          <w:rFonts w:ascii="Arial" w:hAnsi="Arial" w:cs="Arial"/>
          <w:sz w:val="22"/>
          <w:szCs w:val="22"/>
        </w:rPr>
        <w:t xml:space="preserve"> DIČ:  </w:t>
      </w:r>
      <w:r w:rsidR="00084B7D" w:rsidRPr="00084B7D">
        <w:rPr>
          <w:rFonts w:ascii="Arial" w:hAnsi="Arial" w:cs="Arial"/>
          <w:sz w:val="22"/>
          <w:szCs w:val="22"/>
        </w:rPr>
        <w:t>CZ27155153</w:t>
      </w:r>
    </w:p>
    <w:p w14:paraId="45714A3F" w14:textId="2F2BE9E2" w:rsidR="000E102E" w:rsidRPr="00084B7D" w:rsidRDefault="000E102E" w:rsidP="007D5756">
      <w:pPr>
        <w:autoSpaceDE w:val="0"/>
        <w:spacing w:line="320" w:lineRule="atLeast"/>
        <w:rPr>
          <w:rFonts w:ascii="Arial" w:hAnsi="Arial" w:cs="Arial"/>
          <w:sz w:val="22"/>
          <w:szCs w:val="22"/>
        </w:rPr>
      </w:pPr>
      <w:r w:rsidRPr="00084B7D">
        <w:rPr>
          <w:rFonts w:ascii="Arial" w:hAnsi="Arial" w:cs="Arial"/>
          <w:sz w:val="22"/>
          <w:szCs w:val="22"/>
        </w:rPr>
        <w:t xml:space="preserve">Bankovní spojení: </w:t>
      </w:r>
      <w:proofErr w:type="spellStart"/>
      <w:r w:rsidR="00576B26">
        <w:rPr>
          <w:rFonts w:ascii="Arial" w:hAnsi="Arial" w:cs="Arial"/>
          <w:sz w:val="22"/>
          <w:szCs w:val="22"/>
        </w:rPr>
        <w:t>xxxxxx</w:t>
      </w:r>
      <w:proofErr w:type="spellEnd"/>
    </w:p>
    <w:p w14:paraId="263A3CD6" w14:textId="36549E17" w:rsidR="000E102E" w:rsidRDefault="0071555E" w:rsidP="007D5756">
      <w:pPr>
        <w:autoSpaceDE w:val="0"/>
        <w:spacing w:line="320" w:lineRule="atLeast"/>
        <w:rPr>
          <w:rFonts w:ascii="Arial" w:hAnsi="Arial" w:cs="Arial"/>
          <w:sz w:val="22"/>
          <w:szCs w:val="22"/>
        </w:rPr>
      </w:pPr>
      <w:r w:rsidRPr="00084B7D">
        <w:rPr>
          <w:rFonts w:ascii="Arial" w:hAnsi="Arial" w:cs="Arial"/>
          <w:sz w:val="22"/>
          <w:szCs w:val="22"/>
        </w:rPr>
        <w:t>(</w:t>
      </w:r>
      <w:r w:rsidR="000E102E" w:rsidRPr="00084B7D">
        <w:rPr>
          <w:rFonts w:ascii="Arial" w:hAnsi="Arial" w:cs="Arial"/>
          <w:sz w:val="22"/>
          <w:szCs w:val="22"/>
        </w:rPr>
        <w:t>dále jen „</w:t>
      </w:r>
      <w:r w:rsidR="0087231C" w:rsidRPr="00084B7D">
        <w:rPr>
          <w:rFonts w:ascii="Arial" w:hAnsi="Arial" w:cs="Arial"/>
          <w:b/>
          <w:sz w:val="22"/>
          <w:szCs w:val="22"/>
        </w:rPr>
        <w:t>dodavatel</w:t>
      </w:r>
      <w:r w:rsidR="000E102E" w:rsidRPr="00084B7D">
        <w:rPr>
          <w:rFonts w:ascii="Arial" w:hAnsi="Arial" w:cs="Arial"/>
          <w:sz w:val="22"/>
          <w:szCs w:val="22"/>
        </w:rPr>
        <w:t>“</w:t>
      </w:r>
      <w:r w:rsidRPr="00084B7D">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lastRenderedPageBreak/>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C506B6">
        <w:rPr>
          <w:rFonts w:ascii="Arial" w:hAnsi="Arial" w:cs="Arial"/>
          <w:b/>
          <w:bCs/>
          <w:sz w:val="22"/>
          <w:szCs w:val="22"/>
        </w:rPr>
        <w:t>Sankcionovaná osoba</w:t>
      </w:r>
      <w:r w:rsidRPr="005A5E91">
        <w:rPr>
          <w:rFonts w:ascii="Arial" w:hAnsi="Arial" w:cs="Arial"/>
          <w:sz w:val="22"/>
          <w:szCs w:val="22"/>
        </w:rPr>
        <w:t>“).</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0E641AAD" w14:textId="17F4BD09" w:rsidR="00274C71" w:rsidRDefault="00274C71" w:rsidP="00274C71">
      <w:pPr>
        <w:tabs>
          <w:tab w:val="left" w:pos="5070"/>
        </w:tabs>
        <w:autoSpaceDE w:val="0"/>
        <w:jc w:val="center"/>
        <w:rPr>
          <w:rFonts w:ascii="Arial" w:hAnsi="Arial" w:cs="Arial"/>
          <w:b/>
          <w:sz w:val="22"/>
          <w:szCs w:val="22"/>
        </w:rPr>
      </w:pPr>
    </w:p>
    <w:p w14:paraId="2304C02A" w14:textId="084CC016" w:rsidR="00FF5ABF" w:rsidRDefault="00FF5ABF" w:rsidP="00274C71">
      <w:pPr>
        <w:tabs>
          <w:tab w:val="left" w:pos="5070"/>
        </w:tabs>
        <w:autoSpaceDE w:val="0"/>
        <w:jc w:val="center"/>
        <w:rPr>
          <w:rFonts w:ascii="Arial" w:hAnsi="Arial" w:cs="Arial"/>
          <w:b/>
          <w:sz w:val="22"/>
          <w:szCs w:val="22"/>
        </w:rPr>
      </w:pPr>
    </w:p>
    <w:p w14:paraId="0371C1A5" w14:textId="1488CED4" w:rsidR="00FF5ABF" w:rsidRDefault="00FF5ABF" w:rsidP="00274C71">
      <w:pPr>
        <w:tabs>
          <w:tab w:val="left" w:pos="5070"/>
        </w:tabs>
        <w:autoSpaceDE w:val="0"/>
        <w:jc w:val="center"/>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1"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1"/>
    <w:p w14:paraId="21AD7922" w14:textId="77777777" w:rsidR="000E102E" w:rsidRPr="00CE0C2B" w:rsidRDefault="000E102E">
      <w:pPr>
        <w:keepNext/>
        <w:autoSpaceDE w:val="0"/>
        <w:ind w:left="360"/>
        <w:jc w:val="center"/>
        <w:rPr>
          <w:rFonts w:ascii="Arial" w:hAnsi="Arial" w:cs="Arial"/>
          <w:b/>
          <w:bCs/>
          <w:sz w:val="22"/>
          <w:szCs w:val="22"/>
        </w:rPr>
      </w:pPr>
    </w:p>
    <w:p w14:paraId="170CD403" w14:textId="2351C3DC" w:rsidR="006574A5" w:rsidRPr="006118A4" w:rsidRDefault="0087231C" w:rsidP="006118A4">
      <w:pPr>
        <w:widowControl/>
        <w:numPr>
          <w:ilvl w:val="1"/>
          <w:numId w:val="3"/>
        </w:numPr>
        <w:tabs>
          <w:tab w:val="left" w:pos="-180"/>
        </w:tabs>
        <w:spacing w:line="360" w:lineRule="auto"/>
        <w:textAlignment w:val="auto"/>
        <w:rPr>
          <w:rFonts w:ascii="Arial" w:hAnsi="Arial"/>
          <w:sz w:val="22"/>
          <w:szCs w:val="22"/>
        </w:rPr>
      </w:pPr>
      <w:bookmarkStart w:id="2"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86600E" w:rsidRPr="0086600E">
        <w:rPr>
          <w:rFonts w:ascii="Arial" w:hAnsi="Arial"/>
          <w:b/>
          <w:sz w:val="22"/>
          <w:szCs w:val="22"/>
        </w:rPr>
        <w:t>„</w:t>
      </w:r>
      <w:r w:rsidR="00933A34" w:rsidRPr="00933A34">
        <w:rPr>
          <w:rFonts w:ascii="Arial" w:hAnsi="Arial"/>
          <w:b/>
          <w:sz w:val="22"/>
          <w:szCs w:val="22"/>
        </w:rPr>
        <w:t>Výstavba nové vstupní budovy v areálu Muzea lidových staveb v Kouřimi</w:t>
      </w:r>
      <w:r w:rsidR="0086600E" w:rsidRPr="0086600E">
        <w:rPr>
          <w:rFonts w:ascii="Arial" w:hAnsi="Arial"/>
          <w:b/>
          <w:sz w:val="22"/>
          <w:szCs w:val="22"/>
        </w:rPr>
        <w:t>“</w:t>
      </w:r>
      <w:r w:rsidR="0086600E">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prováděcí 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vypracovala </w:t>
      </w:r>
      <w:r w:rsidR="00D71E00" w:rsidRPr="00C522FA">
        <w:rPr>
          <w:rFonts w:ascii="Arial" w:hAnsi="Arial"/>
          <w:sz w:val="22"/>
          <w:szCs w:val="22"/>
        </w:rPr>
        <w:t>společnost</w:t>
      </w:r>
      <w:r w:rsidR="006118A4">
        <w:rPr>
          <w:rFonts w:ascii="Arial" w:hAnsi="Arial"/>
          <w:sz w:val="22"/>
          <w:szCs w:val="22"/>
        </w:rPr>
        <w:t xml:space="preserve"> </w:t>
      </w:r>
      <w:r w:rsidR="00933A34" w:rsidRPr="00933A34">
        <w:rPr>
          <w:rFonts w:ascii="Arial" w:hAnsi="Arial"/>
          <w:sz w:val="22"/>
          <w:szCs w:val="22"/>
        </w:rPr>
        <w:t>IHARCH s.r.o., Nad údolím 351/70 147 00 Praha 4</w:t>
      </w:r>
      <w:r w:rsidR="006118A4" w:rsidRPr="00CF5DE1">
        <w:rPr>
          <w:rFonts w:ascii="Arial" w:hAnsi="Arial"/>
          <w:sz w:val="22"/>
          <w:szCs w:val="22"/>
        </w:rPr>
        <w:t>, IČ</w:t>
      </w:r>
      <w:r w:rsidR="00C34F38">
        <w:rPr>
          <w:rFonts w:ascii="Arial" w:hAnsi="Arial"/>
          <w:sz w:val="22"/>
          <w:szCs w:val="22"/>
        </w:rPr>
        <w:t>O</w:t>
      </w:r>
      <w:r w:rsidR="006118A4" w:rsidRPr="00CF5DE1">
        <w:rPr>
          <w:rFonts w:ascii="Arial" w:hAnsi="Arial"/>
          <w:sz w:val="22"/>
          <w:szCs w:val="22"/>
        </w:rPr>
        <w:t xml:space="preserve">: </w:t>
      </w:r>
      <w:r w:rsidR="00C34F38" w:rsidRPr="00C34F38">
        <w:rPr>
          <w:rFonts w:ascii="Arial" w:hAnsi="Arial"/>
          <w:sz w:val="22"/>
          <w:szCs w:val="22"/>
        </w:rPr>
        <w:t>24763845</w:t>
      </w:r>
      <w:r w:rsidR="00E51893" w:rsidRPr="006118A4">
        <w:rPr>
          <w:rFonts w:ascii="Arial" w:hAnsi="Arial"/>
          <w:sz w:val="22"/>
          <w:szCs w:val="22"/>
        </w:rPr>
        <w:t>,</w:t>
      </w:r>
      <w:r w:rsidR="008E72C0" w:rsidRPr="006118A4">
        <w:rPr>
          <w:rFonts w:ascii="Arial" w:hAnsi="Arial"/>
          <w:sz w:val="22"/>
          <w:szCs w:val="22"/>
        </w:rPr>
        <w:t xml:space="preserve"> v rozsahu 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 3</w:t>
      </w:r>
      <w:r w:rsidR="00C02048" w:rsidRPr="006118A4">
        <w:rPr>
          <w:rFonts w:ascii="Arial" w:hAnsi="Arial"/>
          <w:sz w:val="22"/>
          <w:szCs w:val="22"/>
        </w:rPr>
        <w:t xml:space="preserve"> </w:t>
      </w:r>
      <w:r w:rsidR="0071602B" w:rsidRPr="006118A4">
        <w:rPr>
          <w:rFonts w:ascii="Arial" w:hAnsi="Arial"/>
          <w:sz w:val="22"/>
          <w:szCs w:val="22"/>
        </w:rPr>
        <w:t>S</w:t>
      </w:r>
      <w:r w:rsidR="006574A5" w:rsidRPr="006118A4">
        <w:rPr>
          <w:rFonts w:ascii="Arial" w:hAnsi="Arial"/>
          <w:sz w:val="22"/>
          <w:szCs w:val="22"/>
        </w:rPr>
        <w:t>mlouvy</w:t>
      </w:r>
      <w:r w:rsidR="006574A5" w:rsidRPr="006118A4">
        <w:rPr>
          <w:rFonts w:ascii="Arial" w:hAnsi="Arial" w:cs="Arial"/>
          <w:sz w:val="22"/>
          <w:szCs w:val="22"/>
        </w:rPr>
        <w:t xml:space="preserve"> a byl součástí nabídky </w:t>
      </w:r>
      <w:r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680E8899"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3" w:name="_Hlk72320812"/>
      <w:r w:rsidR="006B6B27" w:rsidRPr="006B6B27">
        <w:rPr>
          <w:rFonts w:ascii="Arial" w:eastAsiaTheme="minorHAnsi" w:hAnsi="Arial" w:cs="Arial"/>
          <w:sz w:val="22"/>
          <w:szCs w:val="22"/>
          <w:lang w:eastAsia="en-US"/>
        </w:rPr>
        <w:t xml:space="preserve"> </w:t>
      </w:r>
      <w:bookmarkEnd w:id="3"/>
      <w:r w:rsidR="00933A34" w:rsidRPr="00933A34">
        <w:rPr>
          <w:rFonts w:ascii="Arial" w:eastAsiaTheme="minorHAnsi" w:hAnsi="Arial" w:cs="Arial"/>
          <w:sz w:val="22"/>
          <w:szCs w:val="22"/>
          <w:lang w:eastAsia="en-US"/>
        </w:rPr>
        <w:t xml:space="preserve">Areál Muzea lidových staveb v Kouřimi, Ruská ulice, 281 61 Kouřim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2"/>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4E177BD"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r w:rsidR="00933A34">
        <w:rPr>
          <w:rFonts w:ascii="Arial" w:hAnsi="Arial" w:cs="Arial"/>
          <w:sz w:val="22"/>
          <w:szCs w:val="22"/>
        </w:rPr>
        <w:t xml:space="preserve"> </w:t>
      </w:r>
      <w:r w:rsidR="00933A34" w:rsidRPr="00C2023F">
        <w:rPr>
          <w:rFonts w:ascii="Arial" w:hAnsi="Arial" w:cs="Arial"/>
          <w:sz w:val="22"/>
          <w:szCs w:val="22"/>
        </w:rPr>
        <w:t>Tam, kde se jedná o rekonstrukce nebo zhotovení kopií historických objektů (exponátů) je v případech, kdy projektová dokumentace stanoví jinak, nebo kdy jsou stanoveny požadavky přímo dotčenými orgány státní správy (např. orgány památkové péče), jsou tyto požadavky nadřazeny požadavkům stanoveným platnými technickými normami.</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3D1B2919" w14:textId="4CEAA9F5"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lastRenderedPageBreak/>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w:t>
      </w:r>
      <w:r w:rsidR="00CF5DE1">
        <w:rPr>
          <w:rFonts w:ascii="Arial" w:hAnsi="Arial" w:cs="Arial"/>
          <w:sz w:val="22"/>
          <w:szCs w:val="22"/>
        </w:rPr>
        <w:t>2</w:t>
      </w:r>
      <w:r w:rsidRPr="008C4CBA">
        <w:rPr>
          <w:rFonts w:ascii="Arial" w:hAnsi="Arial" w:cs="Arial"/>
          <w:sz w:val="22"/>
          <w:szCs w:val="22"/>
        </w:rPr>
        <w:t xml:space="preserve"> měsíce);</w:t>
      </w:r>
    </w:p>
    <w:p w14:paraId="66BACD64" w14:textId="5B7EDC9D"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 xml:space="preserve">vypracování kontrolně zkušebního plánu stavby, který bude předán </w:t>
      </w:r>
      <w:r w:rsidR="0071555E">
        <w:rPr>
          <w:rFonts w:ascii="Arial" w:hAnsi="Arial" w:cs="Arial"/>
          <w:sz w:val="22"/>
          <w:szCs w:val="22"/>
        </w:rPr>
        <w:t>objednateli</w:t>
      </w:r>
      <w:r w:rsidR="0071555E" w:rsidRPr="001F1C5E">
        <w:rPr>
          <w:rFonts w:ascii="Arial" w:hAnsi="Arial" w:cs="Arial"/>
          <w:sz w:val="22"/>
          <w:szCs w:val="22"/>
        </w:rPr>
        <w:t xml:space="preserve"> </w:t>
      </w:r>
      <w:r w:rsidRPr="001F1C5E">
        <w:rPr>
          <w:rFonts w:ascii="Arial" w:hAnsi="Arial" w:cs="Arial"/>
          <w:sz w:val="22"/>
          <w:szCs w:val="22"/>
        </w:rPr>
        <w:t>k</w:t>
      </w:r>
      <w:r w:rsidR="000D07E0">
        <w:rPr>
          <w:rFonts w:ascii="Arial" w:hAnsi="Arial" w:cs="Arial"/>
          <w:sz w:val="22"/>
          <w:szCs w:val="22"/>
        </w:rPr>
        <w:t> </w:t>
      </w:r>
      <w:r w:rsidRPr="001F1C5E">
        <w:rPr>
          <w:rFonts w:ascii="Arial" w:hAnsi="Arial" w:cs="Arial"/>
          <w:sz w:val="22"/>
          <w:szCs w:val="22"/>
        </w:rPr>
        <w:t>odsouhlasení do 7 kalendářních dnů od předání staveniště;</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A269DA5"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60ED6A9"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v případě, že před zahájením prací nebo v jejich průběhu bude zjištěn výskyt netopýrů nebo rorýse obecného, musí Dodavatel neprodleně pozastavit práce a tuto skutečnost ohlásit a projednat s příslušným orgánem ochrany přírody a krajiny;</w:t>
      </w:r>
    </w:p>
    <w:p w14:paraId="5D930173" w14:textId="77777777" w:rsidR="00F76166"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povolení kácení zeleně;</w:t>
      </w:r>
    </w:p>
    <w:p w14:paraId="224DE53E" w14:textId="6BAB721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zpracování havarijního plánu, který stanoví způsob ochrany díla během stavby, včetně zajištění odsouhlasení příslušnými orgány, zajištění odsouhlasení je nutné před zahájením stavebních prací;</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37073BC"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C14A38E"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zkoušky a měření, revize zařízení;</w:t>
      </w:r>
    </w:p>
    <w:p w14:paraId="0ED3312A" w14:textId="2CE26C6C"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sidR="0071555E">
        <w:rPr>
          <w:rFonts w:ascii="Arial" w:hAnsi="Arial" w:cs="Arial"/>
          <w:sz w:val="22"/>
          <w:szCs w:val="22"/>
        </w:rPr>
        <w:t>;</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lastRenderedPageBreak/>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7C353840"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933A34">
        <w:rPr>
          <w:rFonts w:ascii="Arial" w:hAnsi="Arial" w:cs="Arial"/>
          <w:sz w:val="22"/>
          <w:szCs w:val="22"/>
        </w:rPr>
        <w:t>5</w:t>
      </w:r>
      <w:r w:rsidR="00AC2C82">
        <w:rPr>
          <w:rFonts w:ascii="Arial" w:hAnsi="Arial" w:cs="Arial"/>
          <w:sz w:val="22"/>
          <w:szCs w:val="22"/>
        </w:rPr>
        <w:t xml:space="preserve"> dn</w:t>
      </w:r>
      <w:r w:rsidR="00933A34">
        <w:rPr>
          <w:rFonts w:ascii="Arial" w:hAnsi="Arial" w:cs="Arial"/>
          <w:sz w:val="22"/>
          <w:szCs w:val="22"/>
        </w:rPr>
        <w:t>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4D8CB40A" w14:textId="623038B5" w:rsidR="00BF5553" w:rsidRDefault="0087231C" w:rsidP="00357C90">
      <w:pPr>
        <w:widowControl/>
        <w:numPr>
          <w:ilvl w:val="1"/>
          <w:numId w:val="3"/>
        </w:numPr>
        <w:tabs>
          <w:tab w:val="left" w:pos="-180"/>
        </w:tabs>
        <w:autoSpaceDE w:val="0"/>
        <w:spacing w:line="360" w:lineRule="auto"/>
        <w:textAlignment w:val="auto"/>
        <w:rPr>
          <w:rFonts w:ascii="Arial" w:hAnsi="Arial" w:cs="Arial"/>
          <w:sz w:val="22"/>
          <w:szCs w:val="22"/>
        </w:rPr>
      </w:pPr>
      <w:r w:rsidRPr="00AE2CFB">
        <w:rPr>
          <w:rFonts w:ascii="Arial" w:hAnsi="Arial" w:cs="Arial"/>
          <w:sz w:val="22"/>
          <w:szCs w:val="22"/>
        </w:rPr>
        <w:t xml:space="preserve">Dodavatel </w:t>
      </w:r>
      <w:r w:rsidR="000E102E" w:rsidRPr="00AE2CFB">
        <w:rPr>
          <w:rFonts w:ascii="Arial" w:hAnsi="Arial" w:cs="Arial"/>
          <w:sz w:val="22"/>
          <w:szCs w:val="22"/>
        </w:rPr>
        <w:t>bere na vědomí, že zhotovení díla bude financováno ze strany objednatele prostřednictvím</w:t>
      </w:r>
      <w:r w:rsidR="00F12A0B" w:rsidRPr="00AE2CFB">
        <w:rPr>
          <w:rFonts w:ascii="Arial" w:hAnsi="Arial" w:cs="Arial"/>
          <w:sz w:val="22"/>
          <w:szCs w:val="22"/>
        </w:rPr>
        <w:t xml:space="preserve"> veřejných prostředků, kterými jsou finanční prostředky</w:t>
      </w:r>
      <w:r w:rsidR="00354D13" w:rsidRPr="00AE2CFB">
        <w:rPr>
          <w:rFonts w:ascii="Arial" w:hAnsi="Arial" w:cs="Arial"/>
          <w:sz w:val="22"/>
          <w:szCs w:val="22"/>
        </w:rPr>
        <w:t xml:space="preserve"> z</w:t>
      </w:r>
      <w:r w:rsidR="00F12A0B" w:rsidRPr="00AE2CFB">
        <w:rPr>
          <w:rFonts w:ascii="Arial" w:hAnsi="Arial" w:cs="Arial"/>
          <w:sz w:val="22"/>
          <w:szCs w:val="22"/>
        </w:rPr>
        <w:t xml:space="preserve"> rozpočtu Středočeského kraje</w:t>
      </w:r>
      <w:r w:rsidR="00354D13" w:rsidRPr="00AE2CFB">
        <w:rPr>
          <w:rFonts w:ascii="Arial" w:hAnsi="Arial" w:cs="Arial"/>
          <w:sz w:val="22"/>
          <w:szCs w:val="22"/>
        </w:rPr>
        <w:t xml:space="preserve"> a </w:t>
      </w:r>
      <w:r w:rsidR="00F17460" w:rsidRPr="00AE2CFB">
        <w:rPr>
          <w:rFonts w:ascii="Arial" w:hAnsi="Arial" w:cs="Arial"/>
          <w:sz w:val="22"/>
          <w:szCs w:val="22"/>
        </w:rPr>
        <w:t>prostředky</w:t>
      </w:r>
      <w:r w:rsidR="00354D13" w:rsidRPr="00AE2CFB">
        <w:rPr>
          <w:rFonts w:ascii="Arial" w:hAnsi="Arial" w:cs="Arial"/>
          <w:sz w:val="22"/>
          <w:szCs w:val="22"/>
        </w:rPr>
        <w:t xml:space="preserve"> z</w:t>
      </w:r>
      <w:r w:rsidR="00D91602">
        <w:rPr>
          <w:rFonts w:ascii="Arial" w:hAnsi="Arial" w:cs="Arial"/>
          <w:sz w:val="22"/>
          <w:szCs w:val="22"/>
        </w:rPr>
        <w:t> </w:t>
      </w:r>
      <w:r w:rsidR="00933A34">
        <w:rPr>
          <w:rFonts w:ascii="Arial" w:hAnsi="Arial" w:cs="Arial"/>
          <w:sz w:val="22"/>
          <w:szCs w:val="22"/>
        </w:rPr>
        <w:t>IROP</w:t>
      </w:r>
      <w:r w:rsidR="00D91602">
        <w:rPr>
          <w:rFonts w:ascii="Arial" w:hAnsi="Arial" w:cs="Arial"/>
          <w:sz w:val="22"/>
          <w:szCs w:val="22"/>
        </w:rPr>
        <w:t>.</w:t>
      </w:r>
    </w:p>
    <w:p w14:paraId="0F172DB3" w14:textId="77777777" w:rsidR="00AE2CFB" w:rsidRPr="00AE2CFB" w:rsidRDefault="00AE2CFB" w:rsidP="00AE2CFB">
      <w:pPr>
        <w:widowControl/>
        <w:tabs>
          <w:tab w:val="left" w:pos="-180"/>
        </w:tabs>
        <w:autoSpaceDE w:val="0"/>
        <w:spacing w:line="360" w:lineRule="auto"/>
        <w:textAlignment w:val="auto"/>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lastRenderedPageBreak/>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3E35D976"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933A34" w:rsidRPr="00933A34">
        <w:rPr>
          <w:rFonts w:ascii="Arial" w:hAnsi="Arial" w:cs="Arial"/>
          <w:b/>
          <w:sz w:val="22"/>
          <w:szCs w:val="22"/>
        </w:rPr>
        <w:t>Výstavba nové vstupní budovy v areálu Muzea lidových staveb v Kouřimi</w:t>
      </w:r>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2A29E2F6"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Dodavatel provede (tj. dokončí a předá) dílo specifikované v článku I. odst. 1.</w:t>
      </w:r>
      <w:r w:rsidR="00274C71">
        <w:rPr>
          <w:rFonts w:ascii="Arial" w:hAnsi="Arial" w:cs="Arial"/>
          <w:sz w:val="22"/>
          <w:szCs w:val="22"/>
        </w:rPr>
        <w:t>4</w:t>
      </w:r>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do </w:t>
      </w:r>
      <w:r w:rsidR="00CF5DE1">
        <w:rPr>
          <w:rFonts w:ascii="Arial" w:hAnsi="Arial" w:cs="Arial"/>
          <w:b/>
          <w:sz w:val="22"/>
          <w:szCs w:val="22"/>
        </w:rPr>
        <w:t>1</w:t>
      </w:r>
      <w:r w:rsidR="00245E3B">
        <w:rPr>
          <w:rFonts w:ascii="Arial" w:hAnsi="Arial" w:cs="Arial"/>
          <w:b/>
          <w:sz w:val="22"/>
          <w:szCs w:val="22"/>
        </w:rPr>
        <w:t>2</w:t>
      </w:r>
      <w:r w:rsidR="00CF5DE1">
        <w:rPr>
          <w:rFonts w:ascii="Arial" w:hAnsi="Arial" w:cs="Arial"/>
          <w:b/>
          <w:sz w:val="22"/>
          <w:szCs w:val="22"/>
        </w:rPr>
        <w:t xml:space="preserve"> (</w:t>
      </w:r>
      <w:r w:rsidR="00245E3B">
        <w:rPr>
          <w:rFonts w:ascii="Arial" w:hAnsi="Arial" w:cs="Arial"/>
          <w:b/>
          <w:sz w:val="22"/>
          <w:szCs w:val="22"/>
        </w:rPr>
        <w:t>dvanácti</w:t>
      </w:r>
      <w:r w:rsidR="00CF5DE1">
        <w:rPr>
          <w:rFonts w:ascii="Arial" w:hAnsi="Arial" w:cs="Arial"/>
          <w:b/>
          <w:sz w:val="22"/>
          <w:szCs w:val="22"/>
        </w:rPr>
        <w:t>)</w:t>
      </w:r>
      <w:r w:rsidR="00725AF0">
        <w:rPr>
          <w:rFonts w:ascii="Arial" w:hAnsi="Arial" w:cs="Arial"/>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Pr="009F32DE">
        <w:rPr>
          <w:rFonts w:ascii="Arial" w:hAnsi="Arial" w:cs="Arial"/>
          <w:sz w:val="22"/>
          <w:szCs w:val="22"/>
        </w:rPr>
        <w:b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3BCAD802"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0D07E0">
        <w:rPr>
          <w:rFonts w:ascii="Arial" w:hAnsi="Arial" w:cs="Arial"/>
          <w:sz w:val="22"/>
          <w:szCs w:val="22"/>
        </w:rPr>
        <w:t xml:space="preserve"> </w:t>
      </w:r>
      <w:r w:rsidR="00453BDF" w:rsidRPr="00453BDF">
        <w:rPr>
          <w:rFonts w:ascii="Arial" w:hAnsi="Arial" w:cs="Arial"/>
          <w:sz w:val="22"/>
          <w:szCs w:val="22"/>
        </w:rPr>
        <w:t>e-</w:t>
      </w:r>
      <w:r w:rsidR="00453BDF">
        <w:rPr>
          <w:rFonts w:ascii="Arial" w:hAnsi="Arial" w:cs="Arial"/>
          <w:sz w:val="22"/>
          <w:szCs w:val="22"/>
        </w:rPr>
        <w:t>m</w:t>
      </w:r>
      <w:r w:rsidR="00453BDF" w:rsidRPr="00453BDF">
        <w:rPr>
          <w:rFonts w:ascii="Arial" w:hAnsi="Arial" w:cs="Arial"/>
          <w:sz w:val="22"/>
          <w:szCs w:val="22"/>
        </w:rPr>
        <w:t>ailem</w:t>
      </w:r>
      <w:r w:rsidR="000D07E0">
        <w:rPr>
          <w:rFonts w:ascii="Arial" w:hAnsi="Arial" w:cs="Arial"/>
          <w:sz w:val="22"/>
          <w:szCs w:val="22"/>
        </w:rPr>
        <w:t xml:space="preserve"> </w:t>
      </w:r>
      <w:r w:rsidR="00453BDF" w:rsidRPr="00453BDF">
        <w:rPr>
          <w:rFonts w:ascii="Arial" w:hAnsi="Arial" w:cs="Arial"/>
          <w:sz w:val="22"/>
          <w:szCs w:val="22"/>
        </w:rPr>
        <w:t xml:space="preserve">nebo faxem,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 xml:space="preserve">mlouvy.  Dodavatel je povinen zahájit provádění díla v termínu dle zaslané výzvy. V případě, že </w:t>
      </w:r>
      <w:r w:rsidR="00453BDF" w:rsidRPr="00453BDF">
        <w:rPr>
          <w:rFonts w:ascii="Arial" w:hAnsi="Arial" w:cs="Arial"/>
          <w:sz w:val="22"/>
          <w:szCs w:val="22"/>
        </w:rPr>
        <w:lastRenderedPageBreak/>
        <w:t>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Pr="008C4CBA"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dojde-li během výstavby ke změně rozsahu a druhu prací na žádost objednatele, tyto budou mít vždy písemnou formu a budou vždy před jejich provedením odsouhlaseny </w:t>
      </w:r>
      <w:r w:rsidRPr="00AB6944">
        <w:rPr>
          <w:rFonts w:ascii="Arial" w:hAnsi="Arial" w:cs="Arial"/>
          <w:sz w:val="22"/>
          <w:szCs w:val="22"/>
        </w:rPr>
        <w:lastRenderedPageBreak/>
        <w:t>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649CDB44" w:rsidR="000E102E" w:rsidRPr="00143F5C"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w:t>
      </w:r>
      <w:r w:rsidRPr="00143F5C">
        <w:rPr>
          <w:rFonts w:ascii="Arial" w:hAnsi="Arial" w:cs="Arial"/>
          <w:sz w:val="22"/>
          <w:szCs w:val="22"/>
        </w:rPr>
        <w:t xml:space="preserve">výši </w:t>
      </w:r>
      <w:r w:rsidR="00143F5C" w:rsidRPr="00143F5C">
        <w:rPr>
          <w:rFonts w:ascii="Arial" w:hAnsi="Arial" w:cs="Arial"/>
          <w:sz w:val="22"/>
          <w:szCs w:val="22"/>
        </w:rPr>
        <w:t xml:space="preserve">19 443 405,63 </w:t>
      </w:r>
      <w:r w:rsidRPr="00143F5C">
        <w:rPr>
          <w:rFonts w:ascii="Arial" w:hAnsi="Arial" w:cs="Arial"/>
          <w:sz w:val="22"/>
          <w:szCs w:val="22"/>
        </w:rPr>
        <w:t>Kč bez DPH, a</w:t>
      </w:r>
      <w:r w:rsidR="004932D7" w:rsidRPr="00143F5C">
        <w:rPr>
          <w:rFonts w:ascii="Arial" w:hAnsi="Arial" w:cs="Arial"/>
          <w:sz w:val="22"/>
          <w:szCs w:val="22"/>
        </w:rPr>
        <w:t> </w:t>
      </w:r>
      <w:r w:rsidRPr="00143F5C">
        <w:rPr>
          <w:rFonts w:ascii="Arial" w:hAnsi="Arial" w:cs="Arial"/>
          <w:sz w:val="22"/>
          <w:szCs w:val="22"/>
        </w:rPr>
        <w:t>to</w:t>
      </w:r>
      <w:r w:rsidR="004932D7" w:rsidRPr="00143F5C">
        <w:rPr>
          <w:rFonts w:ascii="Arial" w:hAnsi="Arial" w:cs="Arial"/>
          <w:sz w:val="22"/>
          <w:szCs w:val="22"/>
        </w:rPr>
        <w:t> </w:t>
      </w:r>
      <w:r w:rsidR="00C3537C" w:rsidRPr="00143F5C">
        <w:rPr>
          <w:rFonts w:ascii="Arial" w:hAnsi="Arial" w:cs="Arial"/>
          <w:sz w:val="22"/>
          <w:szCs w:val="22"/>
        </w:rPr>
        <w:t>jako cena nejvýše přípustná ve vztahu k </w:t>
      </w:r>
      <w:r w:rsidR="004C0CC5" w:rsidRPr="00143F5C">
        <w:rPr>
          <w:rFonts w:ascii="Arial" w:hAnsi="Arial" w:cs="Arial"/>
          <w:sz w:val="22"/>
          <w:szCs w:val="22"/>
        </w:rPr>
        <w:t>o</w:t>
      </w:r>
      <w:r w:rsidR="00C3537C" w:rsidRPr="00143F5C">
        <w:rPr>
          <w:rFonts w:ascii="Arial" w:hAnsi="Arial" w:cs="Arial"/>
          <w:sz w:val="22"/>
          <w:szCs w:val="22"/>
        </w:rPr>
        <w:t>ceněnému výkazu</w:t>
      </w:r>
      <w:r w:rsidR="005D45BA" w:rsidRPr="00143F5C">
        <w:rPr>
          <w:rFonts w:ascii="Arial" w:hAnsi="Arial" w:cs="Arial"/>
          <w:sz w:val="22"/>
          <w:szCs w:val="22"/>
        </w:rPr>
        <w:t xml:space="preserve"> výměr, který tvoří přílohu č. 3</w:t>
      </w:r>
      <w:r w:rsidR="00C3537C" w:rsidRPr="00143F5C">
        <w:rPr>
          <w:rFonts w:ascii="Arial" w:hAnsi="Arial" w:cs="Arial"/>
          <w:sz w:val="22"/>
          <w:szCs w:val="22"/>
        </w:rPr>
        <w:t xml:space="preserve"> této </w:t>
      </w:r>
      <w:r w:rsidR="003F7E1D" w:rsidRPr="00143F5C">
        <w:rPr>
          <w:rFonts w:ascii="Arial" w:hAnsi="Arial" w:cs="Arial"/>
          <w:sz w:val="22"/>
          <w:szCs w:val="22"/>
        </w:rPr>
        <w:t>S</w:t>
      </w:r>
      <w:r w:rsidR="00C3537C" w:rsidRPr="00143F5C">
        <w:rPr>
          <w:rFonts w:ascii="Arial" w:hAnsi="Arial" w:cs="Arial"/>
          <w:sz w:val="22"/>
          <w:szCs w:val="22"/>
        </w:rPr>
        <w:t>mlouvy.</w:t>
      </w:r>
    </w:p>
    <w:p w14:paraId="28D3BDB2" w14:textId="53206F3E" w:rsidR="00823A71" w:rsidRPr="00143F5C" w:rsidRDefault="000E102E" w:rsidP="008C454C">
      <w:pPr>
        <w:autoSpaceDE w:val="0"/>
        <w:spacing w:before="120"/>
        <w:ind w:left="425"/>
        <w:rPr>
          <w:rFonts w:ascii="Arial" w:hAnsi="Arial" w:cs="Arial"/>
          <w:sz w:val="22"/>
          <w:szCs w:val="22"/>
        </w:rPr>
      </w:pPr>
      <w:r w:rsidRPr="00143F5C">
        <w:rPr>
          <w:rFonts w:ascii="Arial" w:hAnsi="Arial" w:cs="Arial"/>
          <w:sz w:val="22"/>
          <w:szCs w:val="22"/>
        </w:rPr>
        <w:t xml:space="preserve">K této ceně za dílo bude </w:t>
      </w:r>
      <w:r w:rsidR="0087231C" w:rsidRPr="00143F5C">
        <w:rPr>
          <w:rFonts w:ascii="Arial" w:hAnsi="Arial" w:cs="Arial"/>
          <w:sz w:val="22"/>
          <w:szCs w:val="22"/>
        </w:rPr>
        <w:t xml:space="preserve">dodavatelem </w:t>
      </w:r>
      <w:r w:rsidRPr="00143F5C">
        <w:rPr>
          <w:rFonts w:ascii="Arial" w:hAnsi="Arial" w:cs="Arial"/>
          <w:sz w:val="22"/>
          <w:szCs w:val="22"/>
        </w:rPr>
        <w:t xml:space="preserve">účtována v souladu se zákonem č. 235/2004 Sb., o dani z přidané hodnoty, </w:t>
      </w:r>
      <w:r w:rsidR="005916B5" w:rsidRPr="00143F5C">
        <w:rPr>
          <w:rFonts w:ascii="Arial" w:hAnsi="Arial" w:cs="Arial"/>
          <w:sz w:val="22"/>
          <w:szCs w:val="22"/>
        </w:rPr>
        <w:t>ve znění pozdějších předpisů (dále také „zákon o DPH“)</w:t>
      </w:r>
      <w:r w:rsidRPr="00143F5C">
        <w:rPr>
          <w:rFonts w:ascii="Arial" w:hAnsi="Arial" w:cs="Arial"/>
          <w:sz w:val="22"/>
          <w:szCs w:val="22"/>
        </w:rPr>
        <w:t xml:space="preserve">, DPH ve výši </w:t>
      </w:r>
      <w:r w:rsidR="00143F5C" w:rsidRPr="00143F5C">
        <w:rPr>
          <w:rFonts w:ascii="Arial" w:hAnsi="Arial" w:cs="Arial"/>
          <w:sz w:val="22"/>
          <w:szCs w:val="22"/>
        </w:rPr>
        <w:t xml:space="preserve">4 083 115,18 </w:t>
      </w:r>
      <w:r w:rsidRPr="00143F5C">
        <w:rPr>
          <w:rFonts w:ascii="Arial" w:hAnsi="Arial" w:cs="Arial"/>
          <w:sz w:val="22"/>
          <w:szCs w:val="22"/>
        </w:rPr>
        <w:t>Kč.</w:t>
      </w:r>
    </w:p>
    <w:p w14:paraId="5E210EFC" w14:textId="27B35861" w:rsidR="00951B39" w:rsidRPr="00746FCA" w:rsidRDefault="000E102E" w:rsidP="008C454C">
      <w:pPr>
        <w:autoSpaceDE w:val="0"/>
        <w:spacing w:before="120"/>
        <w:ind w:left="425"/>
        <w:rPr>
          <w:rFonts w:ascii="Arial" w:hAnsi="Arial" w:cs="Arial"/>
          <w:sz w:val="22"/>
          <w:szCs w:val="22"/>
        </w:rPr>
      </w:pPr>
      <w:r w:rsidRPr="00143F5C">
        <w:rPr>
          <w:rFonts w:ascii="Arial" w:hAnsi="Arial" w:cs="Arial"/>
          <w:sz w:val="22"/>
          <w:szCs w:val="22"/>
        </w:rPr>
        <w:t xml:space="preserve">Celková cena za dílo včetně DPH činí </w:t>
      </w:r>
      <w:r w:rsidR="00143F5C" w:rsidRPr="00143F5C">
        <w:rPr>
          <w:rFonts w:ascii="Arial" w:hAnsi="Arial" w:cs="Arial"/>
          <w:sz w:val="22"/>
          <w:szCs w:val="22"/>
        </w:rPr>
        <w:t xml:space="preserve">23 526 520,81 </w:t>
      </w:r>
      <w:r w:rsidRPr="00143F5C">
        <w:rPr>
          <w:rFonts w:ascii="Arial" w:hAnsi="Arial" w:cs="Arial"/>
          <w:sz w:val="22"/>
          <w:szCs w:val="22"/>
        </w:rPr>
        <w:t>Kč.</w:t>
      </w:r>
      <w:r w:rsidRPr="00746FCA">
        <w:rPr>
          <w:rFonts w:ascii="Arial" w:hAnsi="Arial" w:cs="Arial"/>
          <w:sz w:val="22"/>
          <w:szCs w:val="22"/>
        </w:rPr>
        <w:t xml:space="preserve">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w:t>
      </w:r>
      <w:r w:rsidR="00117CE5" w:rsidRPr="00117CE5">
        <w:rPr>
          <w:rFonts w:ascii="Arial" w:hAnsi="Arial" w:cs="Arial"/>
          <w:color w:val="000000"/>
          <w:sz w:val="22"/>
          <w:szCs w:val="22"/>
        </w:rPr>
        <w:lastRenderedPageBreak/>
        <w:t xml:space="preserve">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0AA19F29"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a dodávky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xml:space="preserve">, a to </w:t>
      </w:r>
      <w:r w:rsidRPr="0005053B">
        <w:rPr>
          <w:rFonts w:ascii="Arial" w:hAnsi="Arial" w:cs="Arial"/>
          <w:sz w:val="22"/>
          <w:szCs w:val="22"/>
        </w:rPr>
        <w:lastRenderedPageBreak/>
        <w:t>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245E3B" w:rsidRPr="00245E3B">
        <w:rPr>
          <w:rFonts w:ascii="Arial" w:hAnsi="Arial" w:cs="Arial"/>
          <w:b/>
          <w:sz w:val="22"/>
          <w:szCs w:val="22"/>
        </w:rPr>
        <w:t>Výstavba nové vstupní budovy v areálu Muzea lidových staveb v Kouřimi</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00F17460">
        <w:rPr>
          <w:rFonts w:ascii="Arial" w:hAnsi="Arial" w:cs="Arial"/>
          <w:sz w:val="22"/>
          <w:szCs w:val="22"/>
        </w:rPr>
        <w:t xml:space="preserve"> a </w:t>
      </w:r>
      <w:r w:rsidR="007E4C79">
        <w:rPr>
          <w:rFonts w:ascii="Arial" w:hAnsi="Arial" w:cs="Arial"/>
          <w:sz w:val="22"/>
          <w:szCs w:val="22"/>
        </w:rPr>
        <w:t>název</w:t>
      </w:r>
      <w:r w:rsidRPr="0005053B">
        <w:rPr>
          <w:rFonts w:ascii="Arial" w:hAnsi="Arial" w:cs="Arial"/>
          <w:sz w:val="22"/>
          <w:szCs w:val="22"/>
        </w:rPr>
        <w:t>. Nedílnou součástí každé faktury musí být soupis provedených prací a dodávek za kalendářní měsíc, a fotodokumentace dle ustanovení článku I. odst. 1.</w:t>
      </w:r>
      <w:r w:rsidR="00274C71">
        <w:rPr>
          <w:rFonts w:ascii="Arial" w:hAnsi="Arial" w:cs="Arial"/>
          <w:sz w:val="22"/>
          <w:szCs w:val="22"/>
        </w:rPr>
        <w:t>10</w:t>
      </w:r>
      <w:r w:rsidRPr="0005053B">
        <w:rPr>
          <w:rFonts w:ascii="Arial" w:hAnsi="Arial" w:cs="Arial"/>
          <w:sz w:val="22"/>
          <w:szCs w:val="22"/>
        </w:rPr>
        <w:t>. a odst.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5EEDA04D" w:rsidR="000E102E" w:rsidRDefault="007E4C79" w:rsidP="007E4C79">
      <w:pPr>
        <w:numPr>
          <w:ilvl w:val="1"/>
          <w:numId w:val="18"/>
        </w:numPr>
        <w:rPr>
          <w:rFonts w:ascii="Arial" w:hAnsi="Arial" w:cs="Arial"/>
          <w:sz w:val="22"/>
          <w:szCs w:val="22"/>
        </w:rPr>
      </w:pPr>
      <w:r w:rsidRPr="007E4C7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a zároveň předání bankovní záruky dle čl. XIV této Smlouvy.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0B23C7FA" w14:textId="77777777" w:rsidR="00245E3B" w:rsidRPr="00BA6449" w:rsidRDefault="00245E3B" w:rsidP="00245E3B">
      <w:pPr>
        <w:rPr>
          <w:rFonts w:ascii="Arial" w:hAnsi="Arial" w:cs="Arial"/>
          <w:sz w:val="22"/>
          <w:szCs w:val="22"/>
        </w:rPr>
      </w:pP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5777C23D"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strukturálních fondů Evropské unie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 xml:space="preserve">plnit prostřednictvím jiných subjektů je povinen zajistit, aby tyto subjekty </w:t>
      </w:r>
      <w:r w:rsidR="000E102E" w:rsidRPr="008C4CBA">
        <w:rPr>
          <w:rFonts w:ascii="Arial" w:hAnsi="Arial" w:cs="Arial"/>
          <w:sz w:val="22"/>
          <w:szCs w:val="22"/>
        </w:rPr>
        <w:lastRenderedPageBreak/>
        <w:t>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a realizací projekt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bookmarkStart w:id="4" w:name="_Hlk169771986"/>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bookmarkEnd w:id="4"/>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Dodavatel není bez předchozího písemného souhlasu objednatele oprávněn postoupit 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lastRenderedPageBreak/>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Pr="008C4CBA"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w:t>
      </w:r>
      <w:r w:rsidR="000E102E" w:rsidRPr="008C4CBA">
        <w:rPr>
          <w:rFonts w:ascii="Arial" w:hAnsi="Arial" w:cs="Arial"/>
          <w:sz w:val="22"/>
          <w:szCs w:val="22"/>
        </w:rPr>
        <w:lastRenderedPageBreak/>
        <w:t xml:space="preserve">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Pr="00EF69FD"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2085FC65" w14:textId="77777777" w:rsidR="00AA1921" w:rsidRPr="008C4CBA"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62A90111" w14:textId="77777777" w:rsidR="00DE3BBE" w:rsidRDefault="00DE3BBE" w:rsidP="002D39D5">
      <w:pPr>
        <w:autoSpaceDE w:val="0"/>
        <w:autoSpaceDN w:val="0"/>
        <w:spacing w:line="276" w:lineRule="auto"/>
        <w:ind w:left="360"/>
        <w:rPr>
          <w:rFonts w:ascii="Arial" w:hAnsi="Arial" w:cs="Arial"/>
          <w:sz w:val="22"/>
          <w:szCs w:val="22"/>
        </w:rPr>
      </w:pPr>
    </w:p>
    <w:p w14:paraId="25007492" w14:textId="3AF35E92" w:rsidR="00747067" w:rsidRDefault="00403596" w:rsidP="002D39D5">
      <w:pPr>
        <w:autoSpaceDE w:val="0"/>
        <w:autoSpaceDN w:val="0"/>
        <w:spacing w:line="276" w:lineRule="auto"/>
        <w:ind w:left="360"/>
        <w:rPr>
          <w:rFonts w:ascii="Arial" w:hAnsi="Arial" w:cs="Arial"/>
          <w:sz w:val="22"/>
          <w:szCs w:val="22"/>
        </w:rPr>
      </w:pPr>
      <w:r>
        <w:rPr>
          <w:rFonts w:ascii="Arial" w:hAnsi="Arial" w:cs="Arial"/>
          <w:sz w:val="22"/>
          <w:szCs w:val="22"/>
        </w:rPr>
        <w:t xml:space="preserve">Petr </w:t>
      </w:r>
      <w:r w:rsidR="00DB7F13">
        <w:rPr>
          <w:rFonts w:ascii="Arial" w:hAnsi="Arial" w:cs="Arial"/>
          <w:sz w:val="22"/>
          <w:szCs w:val="22"/>
        </w:rPr>
        <w:t>Kučera</w:t>
      </w:r>
      <w:r>
        <w:rPr>
          <w:rFonts w:ascii="Arial" w:hAnsi="Arial" w:cs="Arial"/>
          <w:sz w:val="22"/>
          <w:szCs w:val="22"/>
        </w:rPr>
        <w:t>,</w:t>
      </w:r>
      <w:r w:rsidR="00245E3B">
        <w:rPr>
          <w:rFonts w:ascii="Arial" w:hAnsi="Arial" w:cs="Arial"/>
          <w:sz w:val="22"/>
          <w:szCs w:val="22"/>
        </w:rPr>
        <w:t xml:space="preserve"> </w:t>
      </w:r>
      <w:r w:rsidR="00DE3BBE">
        <w:rPr>
          <w:rFonts w:ascii="Arial" w:hAnsi="Arial" w:cs="Arial"/>
          <w:sz w:val="22"/>
          <w:szCs w:val="22"/>
        </w:rPr>
        <w:t>V</w:t>
      </w:r>
      <w:r w:rsidR="00245E3B">
        <w:rPr>
          <w:rFonts w:ascii="Arial" w:hAnsi="Arial" w:cs="Arial"/>
          <w:sz w:val="22"/>
          <w:szCs w:val="22"/>
        </w:rPr>
        <w:t>edoucí oddělení investic</w:t>
      </w:r>
      <w:r w:rsidR="00DE3BBE">
        <w:rPr>
          <w:rFonts w:ascii="Arial" w:hAnsi="Arial" w:cs="Arial"/>
          <w:sz w:val="22"/>
          <w:szCs w:val="22"/>
        </w:rPr>
        <w:t>,</w:t>
      </w:r>
      <w:r>
        <w:rPr>
          <w:rFonts w:ascii="Arial" w:hAnsi="Arial" w:cs="Arial"/>
          <w:sz w:val="22"/>
          <w:szCs w:val="22"/>
        </w:rPr>
        <w:t xml:space="preserve"> </w:t>
      </w:r>
      <w:r w:rsidR="00245E3B">
        <w:rPr>
          <w:rFonts w:ascii="Arial" w:hAnsi="Arial" w:cs="Arial"/>
          <w:bCs/>
          <w:iCs/>
          <w:sz w:val="22"/>
          <w:szCs w:val="22"/>
        </w:rPr>
        <w:t>tel.</w:t>
      </w:r>
      <w:r w:rsidR="00D96A33">
        <w:rPr>
          <w:rFonts w:ascii="Arial" w:hAnsi="Arial" w:cs="Arial"/>
          <w:bCs/>
          <w:iCs/>
          <w:sz w:val="22"/>
          <w:szCs w:val="22"/>
        </w:rPr>
        <w:t xml:space="preserve">: </w:t>
      </w:r>
      <w:proofErr w:type="spellStart"/>
      <w:r w:rsidR="00576B26">
        <w:rPr>
          <w:rFonts w:ascii="Arial" w:hAnsi="Arial" w:cs="Arial"/>
          <w:sz w:val="22"/>
          <w:szCs w:val="22"/>
        </w:rPr>
        <w:t>xxxxx</w:t>
      </w:r>
      <w:proofErr w:type="spellEnd"/>
    </w:p>
    <w:p w14:paraId="28500337" w14:textId="719A90BD" w:rsidR="00952F06" w:rsidRPr="00952F06" w:rsidRDefault="00952F06" w:rsidP="005A21BC">
      <w:pPr>
        <w:jc w:val="left"/>
        <w:rPr>
          <w:rFonts w:ascii="Arial" w:hAnsi="Arial" w:cs="Arial"/>
          <w:sz w:val="22"/>
          <w:szCs w:val="22"/>
        </w:rPr>
      </w:pPr>
      <w:r>
        <w:rPr>
          <w:rFonts w:ascii="Arial" w:hAnsi="Arial" w:cs="Arial"/>
          <w:sz w:val="22"/>
          <w:szCs w:val="22"/>
        </w:rPr>
        <w:t xml:space="preserve">      </w:t>
      </w:r>
      <w:r w:rsidRPr="005A21BC">
        <w:rPr>
          <w:rFonts w:ascii="Arial" w:hAnsi="Arial" w:cs="Arial"/>
          <w:sz w:val="22"/>
          <w:szCs w:val="22"/>
        </w:rPr>
        <w:t>Ve věcech technických zastupuje objednatele</w:t>
      </w:r>
      <w:r w:rsidR="00DE3BBE">
        <w:rPr>
          <w:rFonts w:ascii="Arial" w:hAnsi="Arial" w:cs="Arial"/>
          <w:sz w:val="22"/>
          <w:szCs w:val="22"/>
        </w:rPr>
        <w:t>:</w:t>
      </w:r>
      <w:r w:rsidR="00DE3BBE">
        <w:rPr>
          <w:rFonts w:ascii="Arial" w:hAnsi="Arial" w:cs="Arial"/>
          <w:sz w:val="22"/>
          <w:szCs w:val="22"/>
        </w:rPr>
        <w:br/>
        <w:t xml:space="preserve">     </w:t>
      </w:r>
      <w:r w:rsidRPr="005A21BC">
        <w:rPr>
          <w:rFonts w:ascii="Arial" w:hAnsi="Arial" w:cs="Arial"/>
          <w:sz w:val="22"/>
          <w:szCs w:val="22"/>
        </w:rPr>
        <w:t xml:space="preserve"> </w:t>
      </w:r>
      <w:r w:rsidR="005A21BC">
        <w:rPr>
          <w:rFonts w:ascii="Arial" w:hAnsi="Arial" w:cs="Arial"/>
          <w:sz w:val="22"/>
          <w:szCs w:val="22"/>
        </w:rPr>
        <w:t xml:space="preserve">Mgr. Jindřich Záhorka, tel.: </w:t>
      </w:r>
      <w:proofErr w:type="spellStart"/>
      <w:r w:rsidR="00576B26">
        <w:rPr>
          <w:rFonts w:ascii="Arial" w:hAnsi="Arial" w:cs="Arial"/>
          <w:sz w:val="22"/>
          <w:szCs w:val="22"/>
        </w:rPr>
        <w:t>xxxxx</w:t>
      </w:r>
      <w:proofErr w:type="spellEnd"/>
      <w:r w:rsidR="005A21BC">
        <w:rPr>
          <w:rFonts w:ascii="Arial" w:hAnsi="Arial" w:cs="Arial"/>
          <w:sz w:val="22"/>
          <w:szCs w:val="22"/>
        </w:rPr>
        <w:t xml:space="preserve"> </w:t>
      </w:r>
      <w:r w:rsidR="00DE3BBE">
        <w:rPr>
          <w:rFonts w:ascii="Arial" w:hAnsi="Arial" w:cs="Arial"/>
          <w:sz w:val="22"/>
          <w:szCs w:val="22"/>
        </w:rPr>
        <w:br/>
        <w:t xml:space="preserve">      </w:t>
      </w:r>
      <w:r w:rsidR="005A21BC">
        <w:rPr>
          <w:rFonts w:ascii="Arial" w:hAnsi="Arial" w:cs="Arial"/>
          <w:sz w:val="22"/>
          <w:szCs w:val="22"/>
        </w:rPr>
        <w:t xml:space="preserve">e -mail:  </w:t>
      </w:r>
      <w:proofErr w:type="spellStart"/>
      <w:r w:rsidR="00576B26">
        <w:rPr>
          <w:rFonts w:ascii="Arial" w:hAnsi="Arial" w:cs="Arial"/>
          <w:sz w:val="22"/>
          <w:szCs w:val="22"/>
        </w:rPr>
        <w:t>xxxxx</w:t>
      </w:r>
      <w:proofErr w:type="spellEnd"/>
    </w:p>
    <w:p w14:paraId="1D84B8D1" w14:textId="77777777" w:rsidR="00747067" w:rsidRPr="00E8159D" w:rsidRDefault="00747067" w:rsidP="00747067">
      <w:pPr>
        <w:autoSpaceDE w:val="0"/>
        <w:autoSpaceDN w:val="0"/>
        <w:spacing w:line="276" w:lineRule="auto"/>
        <w:ind w:left="540"/>
        <w:rPr>
          <w:rFonts w:ascii="Arial" w:hAnsi="Arial" w:cs="Arial"/>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380CC2E9" w14:textId="47B8E7DD" w:rsidR="00747067" w:rsidRPr="00245E3B" w:rsidRDefault="00747067" w:rsidP="00245E3B">
      <w:pPr>
        <w:tabs>
          <w:tab w:val="left" w:pos="360"/>
        </w:tabs>
        <w:suppressAutoHyphens w:val="0"/>
        <w:autoSpaceDE w:val="0"/>
        <w:autoSpaceDN w:val="0"/>
        <w:adjustRightInd w:val="0"/>
        <w:ind w:left="357"/>
        <w:rPr>
          <w:rFonts w:ascii="Arial" w:hAnsi="Arial" w:cs="Arial"/>
          <w:sz w:val="22"/>
          <w:szCs w:val="22"/>
        </w:rPr>
      </w:pPr>
      <w:r w:rsidRPr="00245E3B">
        <w:rPr>
          <w:rFonts w:ascii="Arial" w:hAnsi="Arial" w:cs="Arial"/>
          <w:sz w:val="22"/>
          <w:szCs w:val="22"/>
        </w:rPr>
        <w:t xml:space="preserve">Ve věcech smluvních zastupuje objednatele </w:t>
      </w:r>
      <w:r w:rsidR="00245E3B" w:rsidRPr="00245E3B">
        <w:rPr>
          <w:rFonts w:ascii="Arial" w:hAnsi="Arial" w:cs="Arial"/>
          <w:sz w:val="22"/>
          <w:szCs w:val="22"/>
        </w:rPr>
        <w:t>Mgr. Vladimír Rišlink, ředitel, tel</w:t>
      </w:r>
      <w:r w:rsidR="00245E3B">
        <w:rPr>
          <w:rFonts w:ascii="Arial" w:hAnsi="Arial" w:cs="Arial"/>
          <w:sz w:val="22"/>
          <w:szCs w:val="22"/>
        </w:rPr>
        <w:t>.</w:t>
      </w:r>
      <w:r w:rsidR="00245E3B" w:rsidRPr="00245E3B">
        <w:rPr>
          <w:rFonts w:ascii="Arial" w:hAnsi="Arial" w:cs="Arial"/>
          <w:sz w:val="22"/>
          <w:szCs w:val="22"/>
        </w:rPr>
        <w:t xml:space="preserve">: </w:t>
      </w:r>
      <w:proofErr w:type="spellStart"/>
      <w:proofErr w:type="gramStart"/>
      <w:r w:rsidR="00576B26">
        <w:rPr>
          <w:rFonts w:ascii="Arial" w:hAnsi="Arial" w:cs="Arial"/>
          <w:sz w:val="22"/>
          <w:szCs w:val="22"/>
        </w:rPr>
        <w:t>xxxxx</w:t>
      </w:r>
      <w:proofErr w:type="spellEnd"/>
      <w:r w:rsidR="00245E3B" w:rsidRPr="00245E3B">
        <w:rPr>
          <w:rFonts w:ascii="Arial" w:hAnsi="Arial" w:cs="Arial"/>
          <w:sz w:val="22"/>
          <w:szCs w:val="22"/>
        </w:rPr>
        <w:t xml:space="preserve">  mobil</w:t>
      </w:r>
      <w:proofErr w:type="gramEnd"/>
      <w:r w:rsidR="00576B26">
        <w:rPr>
          <w:rFonts w:ascii="Arial" w:hAnsi="Arial" w:cs="Arial"/>
          <w:sz w:val="22"/>
          <w:szCs w:val="22"/>
        </w:rPr>
        <w:t xml:space="preserve">: </w:t>
      </w:r>
      <w:proofErr w:type="spellStart"/>
      <w:r w:rsidR="00576B26">
        <w:rPr>
          <w:rFonts w:ascii="Arial" w:hAnsi="Arial" w:cs="Arial"/>
          <w:sz w:val="22"/>
          <w:szCs w:val="22"/>
        </w:rPr>
        <w:t>xxxxx</w:t>
      </w:r>
      <w:proofErr w:type="spellEnd"/>
      <w:r w:rsidR="00245E3B" w:rsidRPr="00245E3B">
        <w:rPr>
          <w:rFonts w:ascii="Arial" w:hAnsi="Arial" w:cs="Arial"/>
          <w:sz w:val="22"/>
          <w:szCs w:val="22"/>
        </w:rPr>
        <w:t xml:space="preserve">, e -mail: </w:t>
      </w:r>
      <w:proofErr w:type="spellStart"/>
      <w:r w:rsidR="00576B26">
        <w:rPr>
          <w:rFonts w:ascii="Arial" w:hAnsi="Arial" w:cs="Arial"/>
          <w:sz w:val="22"/>
          <w:szCs w:val="22"/>
        </w:rPr>
        <w:t>xxxxx</w:t>
      </w:r>
      <w:proofErr w:type="spellEnd"/>
    </w:p>
    <w:p w14:paraId="4BDBC432" w14:textId="77777777" w:rsidR="000406CC" w:rsidRDefault="000406CC" w:rsidP="00135D03">
      <w:pPr>
        <w:autoSpaceDE w:val="0"/>
        <w:autoSpaceDN w:val="0"/>
        <w:rPr>
          <w:rFonts w:ascii="Arial" w:hAnsi="Arial" w:cs="Arial"/>
          <w:sz w:val="22"/>
          <w:szCs w:val="22"/>
        </w:rPr>
      </w:pPr>
    </w:p>
    <w:p w14:paraId="67217177" w14:textId="77777777" w:rsidR="00BB3E38" w:rsidRPr="00F1058D" w:rsidRDefault="00AA1921" w:rsidP="00896968">
      <w:pPr>
        <w:numPr>
          <w:ilvl w:val="1"/>
          <w:numId w:val="22"/>
        </w:numPr>
        <w:rPr>
          <w:rFonts w:ascii="Arial" w:hAnsi="Arial" w:cs="Arial"/>
          <w:sz w:val="22"/>
          <w:szCs w:val="22"/>
        </w:rPr>
      </w:pPr>
      <w:r w:rsidRPr="00746FCA">
        <w:rPr>
          <w:rFonts w:ascii="Arial" w:hAnsi="Arial" w:cs="Arial"/>
          <w:sz w:val="22"/>
          <w:szCs w:val="22"/>
        </w:rPr>
        <w:lastRenderedPageBreak/>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F1058D">
        <w:rPr>
          <w:rFonts w:ascii="Arial" w:hAnsi="Arial" w:cs="Arial"/>
          <w:sz w:val="22"/>
          <w:szCs w:val="22"/>
        </w:rPr>
        <w:t>:</w:t>
      </w:r>
      <w:r w:rsidRPr="00F1058D">
        <w:rPr>
          <w:rFonts w:ascii="Arial" w:hAnsi="Arial" w:cs="Arial"/>
          <w:sz w:val="22"/>
          <w:szCs w:val="22"/>
        </w:rPr>
        <w:t xml:space="preserve"> </w:t>
      </w:r>
      <w:r w:rsidR="00B654A4" w:rsidRPr="00F1058D">
        <w:rPr>
          <w:rFonts w:ascii="Arial" w:hAnsi="Arial" w:cs="Arial"/>
          <w:sz w:val="22"/>
          <w:szCs w:val="22"/>
        </w:rPr>
        <w:t xml:space="preserve">[k doplnění, vč. </w:t>
      </w:r>
      <w:r w:rsidR="00317A56" w:rsidRPr="00F1058D">
        <w:rPr>
          <w:rFonts w:ascii="Arial" w:hAnsi="Arial" w:cs="Arial"/>
          <w:sz w:val="22"/>
          <w:szCs w:val="22"/>
        </w:rPr>
        <w:t xml:space="preserve">tel. </w:t>
      </w:r>
      <w:r w:rsidR="00B654A4" w:rsidRPr="00F1058D">
        <w:rPr>
          <w:rFonts w:ascii="Arial" w:hAnsi="Arial" w:cs="Arial"/>
          <w:sz w:val="22"/>
          <w:szCs w:val="22"/>
        </w:rPr>
        <w:t>kontaktů, emailových adres].</w:t>
      </w:r>
    </w:p>
    <w:p w14:paraId="4EA32E85" w14:textId="1029DE01" w:rsidR="00BB3E38" w:rsidRPr="00F1058D" w:rsidRDefault="00975A16" w:rsidP="00BB3E38">
      <w:pPr>
        <w:autoSpaceDE w:val="0"/>
        <w:autoSpaceDN w:val="0"/>
        <w:spacing w:line="276" w:lineRule="auto"/>
        <w:ind w:left="720"/>
        <w:rPr>
          <w:rFonts w:ascii="Arial" w:hAnsi="Arial" w:cs="Arial"/>
          <w:sz w:val="22"/>
          <w:szCs w:val="22"/>
          <w:lang w:eastAsia="cs-CZ"/>
        </w:rPr>
      </w:pPr>
      <w:r w:rsidRPr="00F1058D">
        <w:rPr>
          <w:rFonts w:ascii="Arial" w:hAnsi="Arial" w:cs="Arial"/>
          <w:iCs/>
          <w:sz w:val="22"/>
          <w:szCs w:val="22"/>
        </w:rPr>
        <w:t>Hlavní s</w:t>
      </w:r>
      <w:r w:rsidR="00BB3E38" w:rsidRPr="00F1058D">
        <w:rPr>
          <w:rFonts w:ascii="Arial" w:hAnsi="Arial" w:cs="Arial"/>
          <w:iCs/>
          <w:sz w:val="22"/>
          <w:szCs w:val="22"/>
        </w:rPr>
        <w:t>tavbyvedoucí</w:t>
      </w:r>
      <w:r w:rsidR="00BB3E38" w:rsidRPr="00F1058D">
        <w:rPr>
          <w:rFonts w:ascii="Arial" w:hAnsi="Arial" w:cs="Arial"/>
          <w:sz w:val="22"/>
          <w:szCs w:val="22"/>
          <w:lang w:eastAsia="cs-CZ"/>
        </w:rPr>
        <w:t>:</w:t>
      </w:r>
      <w:r w:rsidR="00EE2C6B" w:rsidRPr="00F1058D">
        <w:rPr>
          <w:rFonts w:ascii="Arial" w:hAnsi="Arial" w:cs="Arial"/>
          <w:sz w:val="22"/>
          <w:szCs w:val="22"/>
          <w:lang w:eastAsia="cs-CZ"/>
        </w:rPr>
        <w:t xml:space="preserve"> </w:t>
      </w:r>
      <w:r w:rsidR="00F1058D" w:rsidRPr="00F1058D">
        <w:rPr>
          <w:rFonts w:ascii="Arial" w:hAnsi="Arial" w:cs="Arial"/>
          <w:sz w:val="22"/>
          <w:szCs w:val="22"/>
          <w:lang w:eastAsia="cs-CZ"/>
        </w:rPr>
        <w:t xml:space="preserve">Ing. Jiří Fořt, tel.: </w:t>
      </w:r>
      <w:proofErr w:type="spellStart"/>
      <w:r w:rsidR="00576B26">
        <w:rPr>
          <w:rFonts w:ascii="Arial" w:hAnsi="Arial" w:cs="Arial"/>
          <w:sz w:val="22"/>
          <w:szCs w:val="22"/>
          <w:lang w:eastAsia="cs-CZ"/>
        </w:rPr>
        <w:t>xxxxx</w:t>
      </w:r>
      <w:proofErr w:type="spellEnd"/>
      <w:r w:rsidR="00F1058D" w:rsidRPr="00F1058D">
        <w:rPr>
          <w:rFonts w:ascii="Arial" w:hAnsi="Arial" w:cs="Arial"/>
          <w:sz w:val="22"/>
          <w:szCs w:val="22"/>
          <w:lang w:eastAsia="cs-CZ"/>
        </w:rPr>
        <w:t xml:space="preserve"> </w:t>
      </w:r>
    </w:p>
    <w:p w14:paraId="653C8DAA" w14:textId="364969F7" w:rsidR="00BB3E38" w:rsidRDefault="00BB3E38" w:rsidP="00BB3E38">
      <w:pPr>
        <w:autoSpaceDE w:val="0"/>
        <w:autoSpaceDN w:val="0"/>
        <w:spacing w:line="276" w:lineRule="auto"/>
        <w:ind w:left="720"/>
        <w:rPr>
          <w:rFonts w:ascii="Arial" w:hAnsi="Arial" w:cs="Arial"/>
          <w:iCs/>
          <w:sz w:val="22"/>
          <w:szCs w:val="22"/>
          <w:highlight w:val="yellow"/>
        </w:rPr>
      </w:pPr>
      <w:r w:rsidRPr="00EE2C6B">
        <w:rPr>
          <w:rFonts w:ascii="Arial" w:hAnsi="Arial" w:cs="Arial"/>
          <w:iCs/>
          <w:sz w:val="22"/>
          <w:szCs w:val="22"/>
        </w:rPr>
        <w:t>Zástupce stavbyvedoucího:</w:t>
      </w:r>
      <w:r w:rsidR="00EE2C6B" w:rsidRPr="00EE2C6B">
        <w:rPr>
          <w:rFonts w:ascii="Arial" w:hAnsi="Arial" w:cs="Arial"/>
          <w:iCs/>
          <w:sz w:val="22"/>
          <w:szCs w:val="22"/>
        </w:rPr>
        <w:t xml:space="preserve"> </w:t>
      </w:r>
      <w:r w:rsidR="00084B7D" w:rsidRPr="004202C3">
        <w:rPr>
          <w:rFonts w:ascii="Arial" w:hAnsi="Arial" w:cs="Arial"/>
          <w:sz w:val="22"/>
          <w:szCs w:val="22"/>
          <w:lang w:eastAsia="cs-CZ"/>
        </w:rPr>
        <w:t xml:space="preserve">Michal Klauda, tel.: </w:t>
      </w:r>
      <w:proofErr w:type="spellStart"/>
      <w:r w:rsidR="00576B26">
        <w:rPr>
          <w:rFonts w:ascii="Arial" w:hAnsi="Arial" w:cs="Arial"/>
          <w:sz w:val="22"/>
          <w:szCs w:val="22"/>
          <w:lang w:eastAsia="cs-CZ"/>
        </w:rPr>
        <w:t>xxxxxx</w:t>
      </w:r>
      <w:proofErr w:type="spellEnd"/>
    </w:p>
    <w:p w14:paraId="321AEFCC" w14:textId="0B149E5A" w:rsidR="00084B7D" w:rsidRPr="005C205D" w:rsidRDefault="00D60B2E" w:rsidP="00084B7D">
      <w:pPr>
        <w:tabs>
          <w:tab w:val="left" w:pos="360"/>
        </w:tabs>
        <w:suppressAutoHyphens w:val="0"/>
        <w:autoSpaceDE w:val="0"/>
        <w:autoSpaceDN w:val="0"/>
        <w:adjustRightInd w:val="0"/>
        <w:spacing w:line="276" w:lineRule="auto"/>
        <w:ind w:left="709"/>
        <w:rPr>
          <w:rFonts w:ascii="Arial" w:hAnsi="Arial" w:cs="Arial"/>
          <w:sz w:val="22"/>
          <w:szCs w:val="22"/>
          <w:lang w:eastAsia="cs-CZ"/>
        </w:rPr>
      </w:pPr>
      <w:r w:rsidRPr="00EE2C6B">
        <w:rPr>
          <w:rFonts w:ascii="Arial" w:hAnsi="Arial" w:cs="Arial"/>
          <w:sz w:val="22"/>
          <w:szCs w:val="22"/>
        </w:rPr>
        <w:t>Osoba poskytující služby v oboru tvorby a kontroly rozpočtů</w:t>
      </w:r>
      <w:r w:rsidR="00EE2C6B" w:rsidRPr="00EE2C6B">
        <w:rPr>
          <w:rFonts w:ascii="Arial" w:hAnsi="Arial" w:cs="Arial"/>
          <w:sz w:val="22"/>
          <w:szCs w:val="22"/>
        </w:rPr>
        <w:t xml:space="preserve">: </w:t>
      </w:r>
      <w:r w:rsidR="00084B7D" w:rsidRPr="004202C3">
        <w:rPr>
          <w:rFonts w:ascii="Arial" w:hAnsi="Arial" w:cs="Arial"/>
          <w:sz w:val="22"/>
          <w:szCs w:val="22"/>
          <w:lang w:eastAsia="cs-CZ"/>
        </w:rPr>
        <w:t xml:space="preserve">Ing. Luboš Novotný, tel.: </w:t>
      </w:r>
      <w:r w:rsidR="00084B7D">
        <w:rPr>
          <w:rFonts w:ascii="Arial" w:hAnsi="Arial" w:cs="Arial"/>
          <w:sz w:val="22"/>
          <w:szCs w:val="22"/>
          <w:lang w:eastAsia="cs-CZ"/>
        </w:rPr>
        <w:t xml:space="preserve">     </w:t>
      </w:r>
      <w:proofErr w:type="spellStart"/>
      <w:r w:rsidR="00576B26">
        <w:rPr>
          <w:rFonts w:ascii="Arial" w:hAnsi="Arial" w:cs="Arial"/>
          <w:sz w:val="22"/>
          <w:szCs w:val="22"/>
          <w:lang w:eastAsia="cs-CZ"/>
        </w:rPr>
        <w:t>xxxxx</w:t>
      </w:r>
      <w:proofErr w:type="spellEnd"/>
    </w:p>
    <w:p w14:paraId="2952ADE1" w14:textId="4E6E45B1" w:rsidR="004C25CE" w:rsidRDefault="004C25CE" w:rsidP="00D60B2E">
      <w:pPr>
        <w:autoSpaceDE w:val="0"/>
        <w:autoSpaceDN w:val="0"/>
        <w:spacing w:line="276" w:lineRule="auto"/>
        <w:ind w:left="720"/>
        <w:rPr>
          <w:rFonts w:ascii="Arial" w:hAnsi="Arial" w:cs="Arial"/>
          <w:sz w:val="22"/>
          <w:szCs w:val="22"/>
          <w:highlight w:val="yellow"/>
        </w:rPr>
      </w:pP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7A96321A"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 xml:space="preserve">Ve věcech smluvních zastupuje dodavatele: </w:t>
      </w:r>
      <w:r w:rsidR="00084B7D" w:rsidRPr="004202C3">
        <w:rPr>
          <w:rFonts w:ascii="Arial" w:hAnsi="Arial" w:cs="Arial"/>
          <w:sz w:val="22"/>
          <w:szCs w:val="22"/>
          <w:lang w:eastAsia="cs-CZ"/>
        </w:rPr>
        <w:t xml:space="preserve">Ing. Jiří Fořt, </w:t>
      </w:r>
      <w:r w:rsidR="00084B7D">
        <w:rPr>
          <w:rFonts w:ascii="Arial" w:hAnsi="Arial" w:cs="Arial"/>
          <w:sz w:val="22"/>
          <w:szCs w:val="22"/>
          <w:lang w:eastAsia="cs-CZ"/>
        </w:rPr>
        <w:t>člen</w:t>
      </w:r>
      <w:r w:rsidR="00084B7D" w:rsidRPr="004202C3">
        <w:rPr>
          <w:rFonts w:ascii="Arial" w:hAnsi="Arial" w:cs="Arial"/>
          <w:sz w:val="22"/>
          <w:szCs w:val="22"/>
          <w:lang w:eastAsia="cs-CZ"/>
        </w:rPr>
        <w:t xml:space="preserve"> představenstva, tel.: </w:t>
      </w:r>
      <w:proofErr w:type="spellStart"/>
      <w:r w:rsidR="00576B26">
        <w:rPr>
          <w:rFonts w:ascii="Arial" w:hAnsi="Arial" w:cs="Arial"/>
          <w:sz w:val="22"/>
          <w:szCs w:val="22"/>
          <w:lang w:eastAsia="cs-CZ"/>
        </w:rPr>
        <w:t>xxxxx</w:t>
      </w:r>
      <w:proofErr w:type="spellEnd"/>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3CEAC11E" w14:textId="77777777"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P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7777777"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183/2006 Sb., o územním plánování a stavebním řádu (stavební 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8.10.</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w:t>
      </w:r>
      <w:r w:rsidRPr="005A636C">
        <w:rPr>
          <w:rFonts w:ascii="Arial" w:hAnsi="Arial" w:cs="Arial"/>
          <w:sz w:val="22"/>
          <w:szCs w:val="22"/>
        </w:rPr>
        <w:lastRenderedPageBreak/>
        <w:t xml:space="preserve">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w:t>
      </w:r>
      <w:r w:rsidRPr="005A636C">
        <w:rPr>
          <w:rFonts w:ascii="Arial" w:hAnsi="Arial" w:cs="Arial"/>
          <w:sz w:val="22"/>
          <w:szCs w:val="22"/>
        </w:rPr>
        <w:lastRenderedPageBreak/>
        <w:t xml:space="preserve">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w:t>
      </w:r>
      <w:r w:rsidRPr="005A636C">
        <w:rPr>
          <w:rFonts w:ascii="Arial" w:hAnsi="Arial" w:cs="Arial"/>
          <w:sz w:val="22"/>
          <w:szCs w:val="22"/>
        </w:rPr>
        <w:lastRenderedPageBreak/>
        <w:t>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10E9AFCA" w14:textId="237888F7" w:rsidR="001628CF" w:rsidRDefault="005A636C" w:rsidP="00F05E2D">
      <w:pPr>
        <w:autoSpaceDE w:val="0"/>
        <w:ind w:left="567" w:hanging="567"/>
        <w:rPr>
          <w:rFonts w:ascii="Arial" w:hAnsi="Arial" w:cs="Arial"/>
          <w:sz w:val="22"/>
          <w:szCs w:val="22"/>
        </w:rPr>
      </w:pPr>
      <w:r w:rsidRPr="005A636C">
        <w:rPr>
          <w:rFonts w:ascii="Arial" w:hAnsi="Arial" w:cs="Arial"/>
          <w:sz w:val="22"/>
          <w:szCs w:val="22"/>
        </w:rPr>
        <w:lastRenderedPageBreak/>
        <w:t>8.24</w:t>
      </w:r>
      <w:r w:rsidRPr="005A636C">
        <w:rPr>
          <w:rFonts w:ascii="Arial" w:hAnsi="Arial" w:cs="Arial"/>
          <w:sz w:val="22"/>
          <w:szCs w:val="22"/>
        </w:rPr>
        <w:tab/>
        <w:t>Při provádění díla bude vždy v době od 8:00 do 16:00 přítomen</w:t>
      </w:r>
      <w:r w:rsidR="004F6124">
        <w:rPr>
          <w:rFonts w:ascii="Arial" w:hAnsi="Arial" w:cs="Arial"/>
          <w:sz w:val="22"/>
          <w:szCs w:val="22"/>
        </w:rPr>
        <w:t xml:space="preserve"> hlavní stavbyvedoucí</w:t>
      </w:r>
      <w:r w:rsidRPr="005A636C">
        <w:rPr>
          <w:rFonts w:ascii="Arial" w:hAnsi="Arial" w:cs="Arial"/>
          <w:sz w:val="22"/>
          <w:szCs w:val="22"/>
        </w:rPr>
        <w:t xml:space="preserve"> </w:t>
      </w:r>
      <w:r w:rsidR="00B83EC4">
        <w:rPr>
          <w:rFonts w:ascii="Arial" w:hAnsi="Arial" w:cs="Arial"/>
          <w:sz w:val="22"/>
          <w:szCs w:val="22"/>
        </w:rPr>
        <w:t xml:space="preserve">nebo </w:t>
      </w:r>
      <w:r w:rsidRPr="005A636C">
        <w:rPr>
          <w:rFonts w:ascii="Arial" w:hAnsi="Arial" w:cs="Arial"/>
          <w:sz w:val="22"/>
          <w:szCs w:val="22"/>
        </w:rPr>
        <w:t>zástupce stavbyvedoucího v místě stavby.</w:t>
      </w:r>
    </w:p>
    <w:p w14:paraId="15B5D1A0" w14:textId="70C8BA0D" w:rsidR="00894B2E" w:rsidRPr="00894B2E" w:rsidRDefault="00894B2E" w:rsidP="00894B2E">
      <w:pPr>
        <w:autoSpaceDE w:val="0"/>
        <w:ind w:left="567" w:hanging="567"/>
        <w:rPr>
          <w:rFonts w:ascii="Arial" w:hAnsi="Arial" w:cs="Arial"/>
          <w:sz w:val="22"/>
          <w:szCs w:val="22"/>
        </w:rPr>
      </w:pPr>
      <w:r>
        <w:rPr>
          <w:rFonts w:ascii="Arial" w:hAnsi="Arial" w:cs="Arial"/>
          <w:sz w:val="22"/>
          <w:szCs w:val="22"/>
        </w:rPr>
        <w:t>8.25</w:t>
      </w:r>
      <w:r w:rsidRPr="00894B2E">
        <w:rPr>
          <w:rFonts w:ascii="Arial" w:hAnsi="Arial" w:cs="Arial"/>
          <w:sz w:val="22"/>
          <w:szCs w:val="22"/>
        </w:rPr>
        <w:t>.</w:t>
      </w:r>
      <w:r w:rsidRPr="00894B2E">
        <w:rPr>
          <w:rFonts w:ascii="Arial" w:hAnsi="Arial" w:cs="Arial"/>
          <w:sz w:val="22"/>
          <w:szCs w:val="22"/>
        </w:rPr>
        <w:tab/>
        <w:t>Dodavatel prohlašuje, že si je vědom skutečnosti, že objednatel má zájem o plnění této Dohody v souladu se zásadami sociálně odpovědného zadávání veřejných zakázek. Dodavatel se proto výslovně zavazuje při realizaci Dohody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 či jeho poddodavatele.</w:t>
      </w:r>
    </w:p>
    <w:p w14:paraId="7B3793B4" w14:textId="3F23109C" w:rsidR="00894B2E" w:rsidRPr="00894B2E" w:rsidRDefault="00894B2E" w:rsidP="00894B2E">
      <w:pPr>
        <w:autoSpaceDE w:val="0"/>
        <w:ind w:left="567" w:hanging="567"/>
        <w:rPr>
          <w:rFonts w:ascii="Arial" w:hAnsi="Arial" w:cs="Arial"/>
          <w:sz w:val="22"/>
          <w:szCs w:val="22"/>
        </w:rPr>
      </w:pPr>
      <w:r>
        <w:rPr>
          <w:rFonts w:ascii="Arial" w:hAnsi="Arial" w:cs="Arial"/>
          <w:sz w:val="22"/>
          <w:szCs w:val="22"/>
        </w:rPr>
        <w:t>8</w:t>
      </w:r>
      <w:r w:rsidRPr="00894B2E">
        <w:rPr>
          <w:rFonts w:ascii="Arial" w:hAnsi="Arial" w:cs="Arial"/>
          <w:sz w:val="22"/>
          <w:szCs w:val="22"/>
        </w:rPr>
        <w:t>.2</w:t>
      </w:r>
      <w:r>
        <w:rPr>
          <w:rFonts w:ascii="Arial" w:hAnsi="Arial" w:cs="Arial"/>
          <w:sz w:val="22"/>
          <w:szCs w:val="22"/>
        </w:rPr>
        <w:t>6</w:t>
      </w:r>
      <w:r w:rsidRPr="00894B2E">
        <w:rPr>
          <w:rFonts w:ascii="Arial" w:hAnsi="Arial" w:cs="Arial"/>
          <w:sz w:val="22"/>
          <w:szCs w:val="22"/>
        </w:rPr>
        <w:t>.</w:t>
      </w:r>
      <w:r w:rsidRPr="00894B2E">
        <w:rPr>
          <w:rFonts w:ascii="Arial" w:hAnsi="Arial" w:cs="Arial"/>
          <w:sz w:val="22"/>
          <w:szCs w:val="22"/>
        </w:rPr>
        <w:tab/>
        <w:t>Dodavatel se zavazuje, že v souvislosti s realizací veřejné zakázky bude dbát na to, aby vyhledával slibná inovativní řešení, která jsou vhodná pro uspokojení potřeb objednatele a nabízel ekonomicky přijatelné řešení pro inovaci, tedy pro implementaci nového nebo značně zlepšeného produktu, služby nebo postupu souvisejícího s předmětem veřejné zakázky.</w:t>
      </w:r>
    </w:p>
    <w:p w14:paraId="0723C9AB" w14:textId="5C5BCCB6" w:rsidR="00894B2E" w:rsidRDefault="001D46F2" w:rsidP="00894B2E">
      <w:pPr>
        <w:autoSpaceDE w:val="0"/>
        <w:ind w:left="567" w:hanging="567"/>
        <w:rPr>
          <w:rFonts w:ascii="Arial" w:hAnsi="Arial" w:cs="Arial"/>
          <w:sz w:val="22"/>
          <w:szCs w:val="22"/>
        </w:rPr>
      </w:pPr>
      <w:r>
        <w:rPr>
          <w:rFonts w:ascii="Arial" w:hAnsi="Arial" w:cs="Arial"/>
          <w:sz w:val="22"/>
          <w:szCs w:val="22"/>
        </w:rPr>
        <w:t xml:space="preserve">8.27 </w:t>
      </w:r>
      <w:r w:rsidR="00894B2E" w:rsidRPr="00894B2E">
        <w:rPr>
          <w:rFonts w:ascii="Arial" w:hAnsi="Arial" w:cs="Arial"/>
          <w:sz w:val="22"/>
          <w:szCs w:val="22"/>
        </w:rPr>
        <w:t>Dodavatel se zavazuje při plnění předmětu této veřejné zakázky zajistit legální zaměstnávání, férové pracovní podmínky a odpovídající úroveň bezpečnosti práce pro všechny osoby, které se na plnění veřejné zakázky podílejí</w:t>
      </w:r>
      <w:r>
        <w:rPr>
          <w:rFonts w:ascii="Arial" w:hAnsi="Arial" w:cs="Arial"/>
          <w:sz w:val="22"/>
          <w:szCs w:val="22"/>
        </w:rPr>
        <w:t>.</w:t>
      </w:r>
    </w:p>
    <w:p w14:paraId="6A8C9D7E" w14:textId="1582E813" w:rsidR="001D46F2" w:rsidRDefault="001D46F2" w:rsidP="00894B2E">
      <w:pPr>
        <w:autoSpaceDE w:val="0"/>
        <w:ind w:left="567" w:hanging="567"/>
        <w:rPr>
          <w:rFonts w:ascii="Arial" w:hAnsi="Arial" w:cs="Arial"/>
          <w:sz w:val="22"/>
          <w:szCs w:val="22"/>
        </w:rPr>
      </w:pPr>
      <w:r>
        <w:rPr>
          <w:rFonts w:ascii="Arial" w:hAnsi="Arial" w:cs="Arial"/>
          <w:sz w:val="22"/>
          <w:szCs w:val="22"/>
        </w:rPr>
        <w:t>8.28   D</w:t>
      </w:r>
      <w:r w:rsidRPr="001D46F2">
        <w:rPr>
          <w:rFonts w:ascii="Arial" w:hAnsi="Arial" w:cs="Arial"/>
          <w:sz w:val="22"/>
          <w:szCs w:val="22"/>
        </w:rPr>
        <w:t xml:space="preserve">odavatel, s ohledem na ochranu životního prostředí, </w:t>
      </w:r>
      <w:r>
        <w:rPr>
          <w:rFonts w:ascii="Arial" w:hAnsi="Arial" w:cs="Arial"/>
          <w:sz w:val="22"/>
          <w:szCs w:val="22"/>
        </w:rPr>
        <w:t>se zavazuje</w:t>
      </w:r>
      <w:r w:rsidRPr="001D46F2">
        <w:rPr>
          <w:rFonts w:ascii="Arial" w:hAnsi="Arial" w:cs="Arial"/>
          <w:sz w:val="22"/>
          <w:szCs w:val="22"/>
        </w:rPr>
        <w:t xml:space="preserve"> k minimální produkci všech druhů odpadů, vzniklých v souvislosti s realizací předmětu této veřejné zakázky. V případě jejich vzniku bude přednostně a v co největší míře usilovat o jejich další využití, recyklaci a další ekologicky šetrná řešení, a to i nad rámec povinností stanovených zákonem č. 541/2020 Sb., o odpadech, v platném a účinném znění.</w:t>
      </w:r>
    </w:p>
    <w:p w14:paraId="34010ACE" w14:textId="77777777" w:rsidR="00894B2E" w:rsidRDefault="00894B2E" w:rsidP="00F05E2D">
      <w:pPr>
        <w:autoSpaceDE w:val="0"/>
        <w:ind w:left="567" w:hanging="567"/>
        <w:rPr>
          <w:rFonts w:ascii="Arial" w:hAnsi="Arial" w:cs="Arial"/>
          <w:sz w:val="22"/>
          <w:szCs w:val="22"/>
        </w:rPr>
      </w:pPr>
    </w:p>
    <w:p w14:paraId="57FB6B00" w14:textId="77777777" w:rsidR="00625AA5" w:rsidRDefault="00625AA5"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 xml:space="preserve">mlouvy a v přiměřeném rozsahu i po dobu záruční doby bude pojištěn ve smyslu tohoto ustanovení a že nedojde ke </w:t>
      </w:r>
      <w:r w:rsidRPr="008E380C">
        <w:rPr>
          <w:rFonts w:ascii="Arial" w:hAnsi="Arial" w:cs="Arial"/>
          <w:sz w:val="22"/>
          <w:szCs w:val="22"/>
        </w:rPr>
        <w:lastRenderedPageBreak/>
        <w:t>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23B5AEE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 xml:space="preserve">zení tak, jak je </w:t>
      </w:r>
      <w:r w:rsidR="00444613" w:rsidRPr="008C4CBA">
        <w:rPr>
          <w:rFonts w:ascii="Arial" w:hAnsi="Arial" w:cs="Arial"/>
          <w:sz w:val="22"/>
          <w:szCs w:val="22"/>
        </w:rPr>
        <w:lastRenderedPageBreak/>
        <w:t>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Výpověď, Odstoupení od smlouvy</w:t>
      </w: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 xml:space="preserve">v úpadku či jeho majetek bude postižen exekucí </w:t>
      </w:r>
      <w:r w:rsidRPr="008C4CBA">
        <w:rPr>
          <w:rFonts w:ascii="Arial" w:hAnsi="Arial" w:cs="Arial"/>
          <w:sz w:val="22"/>
          <w:szCs w:val="22"/>
        </w:rPr>
        <w:lastRenderedPageBreak/>
        <w:t>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8AA1C6"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xml:space="preserve">. Nepodaří – </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 xml:space="preserve">mlouvy v případě, kdy není schopen uhradit sjednanou cenu díla z důvodů nepřidělení finančních prostředků nebo změny skladby </w:t>
      </w:r>
      <w:r w:rsidRPr="008C4CBA">
        <w:rPr>
          <w:rFonts w:ascii="Arial" w:hAnsi="Arial" w:cs="Arial"/>
          <w:sz w:val="22"/>
          <w:szCs w:val="22"/>
        </w:rPr>
        <w:lastRenderedPageBreak/>
        <w:t>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5"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5"/>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3FF94651"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lastRenderedPageBreak/>
        <w:t>V případě, že dodavatel bude v prodlení se zhotovením a předáním díla nebo jeho části oproti HMG, je povinen zaplatit objednateli smluvní pokutu, jejíž výše bude určena jako násobek počtu dní prodlení se zhotovením díla a 0,</w:t>
      </w:r>
      <w:r w:rsidR="00EA0307">
        <w:rPr>
          <w:rFonts w:ascii="Arial" w:hAnsi="Arial" w:cs="Arial"/>
          <w:sz w:val="22"/>
          <w:szCs w:val="22"/>
        </w:rPr>
        <w:t>1</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4B20E472"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nebo dotace </w:t>
      </w:r>
      <w:r w:rsidR="00587EB2">
        <w:rPr>
          <w:rFonts w:ascii="Arial" w:hAnsi="Arial" w:cs="Arial"/>
          <w:sz w:val="22"/>
          <w:szCs w:val="22"/>
        </w:rPr>
        <w:t>MPSV</w:t>
      </w:r>
      <w:r w:rsidRPr="008C4CBA">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prodlení stanovený nařízením vlády č. 351/2013 Sb. od uplynutí 10</w:t>
      </w:r>
      <w:r w:rsidR="000D07E0">
        <w:rPr>
          <w:rFonts w:ascii="Arial" w:hAnsi="Arial" w:cs="Arial"/>
          <w:sz w:val="22"/>
          <w:szCs w:val="22"/>
        </w:rPr>
        <w:t xml:space="preserve"> </w:t>
      </w:r>
      <w:r w:rsidR="003F5870" w:rsidRPr="003F5870">
        <w:rPr>
          <w:rFonts w:ascii="Arial" w:hAnsi="Arial" w:cs="Arial"/>
          <w:sz w:val="22"/>
          <w:szCs w:val="22"/>
        </w:rPr>
        <w:t>denní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7C1FCFA9" w14:textId="73287877" w:rsidR="0040031D" w:rsidRPr="008C4CBA" w:rsidRDefault="00AE6BF0" w:rsidP="00BF0F4C">
      <w:pPr>
        <w:tabs>
          <w:tab w:val="left" w:pos="360"/>
        </w:tabs>
        <w:autoSpaceDE w:val="0"/>
        <w:rPr>
          <w:rFonts w:ascii="Arial" w:hAnsi="Arial" w:cs="Arial"/>
          <w:sz w:val="22"/>
          <w:szCs w:val="22"/>
        </w:rPr>
      </w:pPr>
      <w:r w:rsidRPr="008C4CBA">
        <w:rPr>
          <w:rFonts w:ascii="Arial" w:hAnsi="Arial" w:cs="Arial"/>
          <w:sz w:val="22"/>
          <w:szCs w:val="22"/>
        </w:rPr>
        <w:lastRenderedPageBreak/>
        <w:tab/>
      </w:r>
      <w:r w:rsidR="007D1F3F" w:rsidRPr="008C4CBA">
        <w:rPr>
          <w:rFonts w:ascii="Arial" w:hAnsi="Arial" w:cs="Arial"/>
          <w:sz w:val="22"/>
          <w:szCs w:val="22"/>
        </w:rPr>
        <w:tab/>
      </w:r>
    </w:p>
    <w:p w14:paraId="6B6E72BD"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rPr>
      </w:pPr>
      <w:r w:rsidRPr="008C4CBA">
        <w:rPr>
          <w:rFonts w:ascii="Arial" w:hAnsi="Arial" w:cs="Arial"/>
          <w:b/>
          <w:sz w:val="22"/>
          <w:szCs w:val="22"/>
        </w:rPr>
        <w:t>Článek XIV.</w:t>
      </w:r>
    </w:p>
    <w:p w14:paraId="0734AFAE" w14:textId="77777777" w:rsidR="00D86A0D" w:rsidRPr="008C4CBA" w:rsidRDefault="00D86A0D" w:rsidP="00D86A0D">
      <w:pPr>
        <w:autoSpaceDE w:val="0"/>
        <w:autoSpaceDN w:val="0"/>
        <w:adjustRightInd w:val="0"/>
        <w:spacing w:line="276" w:lineRule="auto"/>
        <w:ind w:left="540" w:hanging="540"/>
        <w:jc w:val="center"/>
        <w:rPr>
          <w:rFonts w:ascii="Arial" w:hAnsi="Arial" w:cs="Arial"/>
          <w:b/>
          <w:sz w:val="22"/>
          <w:szCs w:val="22"/>
          <w:lang w:eastAsia="cs-CZ"/>
        </w:rPr>
      </w:pPr>
      <w:r w:rsidRPr="008C4CBA">
        <w:rPr>
          <w:rFonts w:ascii="Arial" w:hAnsi="Arial" w:cs="Arial"/>
          <w:b/>
          <w:sz w:val="22"/>
          <w:szCs w:val="22"/>
        </w:rPr>
        <w:t xml:space="preserve">Bankovní záruka </w:t>
      </w:r>
    </w:p>
    <w:p w14:paraId="0B4452CC" w14:textId="77777777" w:rsidR="00D86A0D" w:rsidRPr="008C4CBA" w:rsidRDefault="00D86A0D" w:rsidP="00D86A0D">
      <w:pPr>
        <w:autoSpaceDE w:val="0"/>
        <w:autoSpaceDN w:val="0"/>
        <w:adjustRightInd w:val="0"/>
        <w:spacing w:line="276" w:lineRule="auto"/>
        <w:ind w:left="540" w:hanging="540"/>
        <w:rPr>
          <w:rFonts w:ascii="Arial" w:hAnsi="Arial" w:cs="Arial"/>
          <w:sz w:val="22"/>
          <w:szCs w:val="22"/>
        </w:rPr>
      </w:pPr>
    </w:p>
    <w:p w14:paraId="57291282"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Dodavatel poskytne při podpisu Konečného protokolu o předání a převzetí díl</w:t>
      </w:r>
      <w:r w:rsidR="008A5AA9" w:rsidRPr="008C4CBA">
        <w:rPr>
          <w:rFonts w:ascii="Arial" w:hAnsi="Arial" w:cs="Arial"/>
          <w:sz w:val="22"/>
          <w:szCs w:val="22"/>
        </w:rPr>
        <w:t>a objednateli bankovní záruku, v minimální</w:t>
      </w:r>
      <w:r w:rsidRPr="008C4CBA">
        <w:rPr>
          <w:rFonts w:ascii="Arial" w:hAnsi="Arial" w:cs="Arial"/>
          <w:sz w:val="22"/>
          <w:szCs w:val="22"/>
        </w:rPr>
        <w:t xml:space="preserve"> výši </w:t>
      </w:r>
      <w:r w:rsidR="00465CC2" w:rsidRPr="008C4CBA">
        <w:rPr>
          <w:rFonts w:ascii="Arial" w:hAnsi="Arial" w:cs="Arial"/>
          <w:b/>
          <w:sz w:val="22"/>
          <w:szCs w:val="22"/>
        </w:rPr>
        <w:t>5</w:t>
      </w:r>
      <w:r w:rsidR="009D6DB4" w:rsidRPr="008C4CBA">
        <w:rPr>
          <w:rFonts w:ascii="Arial" w:hAnsi="Arial" w:cs="Arial"/>
          <w:b/>
          <w:sz w:val="22"/>
          <w:szCs w:val="22"/>
        </w:rPr>
        <w:t xml:space="preserve"> % z celkové ceny </w:t>
      </w:r>
      <w:r w:rsidR="00F76B20" w:rsidRPr="008C4CBA">
        <w:rPr>
          <w:rFonts w:ascii="Arial" w:hAnsi="Arial" w:cs="Arial"/>
          <w:b/>
          <w:sz w:val="22"/>
          <w:szCs w:val="22"/>
        </w:rPr>
        <w:t xml:space="preserve">díla </w:t>
      </w:r>
      <w:r w:rsidR="008A5AA9" w:rsidRPr="008C4CBA">
        <w:rPr>
          <w:rFonts w:ascii="Arial" w:hAnsi="Arial" w:cs="Arial"/>
          <w:sz w:val="22"/>
          <w:szCs w:val="22"/>
        </w:rPr>
        <w:t>bez DPH uvedené v článku III. odst. 3.1 Smlouvy,</w:t>
      </w:r>
      <w:r w:rsidR="00D51358" w:rsidRPr="008C4CBA">
        <w:rPr>
          <w:rFonts w:ascii="Arial" w:hAnsi="Arial" w:cs="Arial"/>
          <w:b/>
          <w:sz w:val="22"/>
          <w:szCs w:val="22"/>
        </w:rPr>
        <w:t xml:space="preserve"> </w:t>
      </w:r>
      <w:r w:rsidRPr="008C4CBA">
        <w:rPr>
          <w:rFonts w:ascii="Arial" w:hAnsi="Arial" w:cs="Arial"/>
          <w:sz w:val="22"/>
          <w:szCs w:val="22"/>
        </w:rPr>
        <w:t xml:space="preserve">za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Bankovní záruka musí být platná minimálně po celou dobu záruční doby.</w:t>
      </w:r>
    </w:p>
    <w:p w14:paraId="5DB7DA1E"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7137A961"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Právo z bankovní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odavatel nebude plnit své povinnosti vyplývající ze z</w:t>
      </w:r>
      <w:r w:rsidR="00EE534B" w:rsidRPr="008C4CBA">
        <w:rPr>
          <w:rFonts w:ascii="Arial" w:hAnsi="Arial" w:cs="Arial"/>
          <w:sz w:val="22"/>
          <w:szCs w:val="22"/>
        </w:rPr>
        <w:t>áruky za dílo, ke kterým je ze S</w:t>
      </w:r>
      <w:r w:rsidRPr="008C4CBA">
        <w:rPr>
          <w:rFonts w:ascii="Arial" w:hAnsi="Arial" w:cs="Arial"/>
          <w:sz w:val="22"/>
          <w:szCs w:val="22"/>
        </w:rPr>
        <w:t>mlouvy povinen.</w:t>
      </w:r>
    </w:p>
    <w:p w14:paraId="7F69F16F"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1E6031A0" w14:textId="1C5744DD"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Před uplatněním plnění z bankovní záruky oznámí objednatel písemně </w:t>
      </w:r>
      <w:r w:rsidR="00620CE1" w:rsidRPr="008C4CBA">
        <w:rPr>
          <w:rFonts w:ascii="Arial" w:hAnsi="Arial" w:cs="Arial"/>
          <w:sz w:val="22"/>
          <w:szCs w:val="22"/>
        </w:rPr>
        <w:t>d</w:t>
      </w:r>
      <w:r w:rsidRPr="008C4CBA">
        <w:rPr>
          <w:rFonts w:ascii="Arial" w:hAnsi="Arial" w:cs="Arial"/>
          <w:sz w:val="22"/>
          <w:szCs w:val="22"/>
        </w:rPr>
        <w:t xml:space="preserve">odavateli výši požadovaného plnění ze strany banky. Dodavatel je povinen doručit objednateli novou záruční listinu ve znění shodném s předchozí záruční listinou, v původní výši nejpozději do 7 </w:t>
      </w:r>
      <w:r w:rsidR="00E112E3">
        <w:rPr>
          <w:rFonts w:ascii="Arial" w:hAnsi="Arial" w:cs="Arial"/>
          <w:sz w:val="22"/>
          <w:szCs w:val="22"/>
        </w:rPr>
        <w:t>pracovních</w:t>
      </w:r>
      <w:r w:rsidRPr="008C4CBA">
        <w:rPr>
          <w:rFonts w:ascii="Arial" w:hAnsi="Arial" w:cs="Arial"/>
          <w:sz w:val="22"/>
          <w:szCs w:val="22"/>
        </w:rPr>
        <w:t xml:space="preserve"> dnů od jejího úplného vyčerpání. Bankovní záruka bude uvolněna objednatelem do 10 dnů po uplynutí záruční</w:t>
      </w:r>
      <w:r w:rsidR="004C46DC">
        <w:rPr>
          <w:rFonts w:ascii="Arial" w:hAnsi="Arial" w:cs="Arial"/>
          <w:sz w:val="22"/>
          <w:szCs w:val="22"/>
        </w:rPr>
        <w:t xml:space="preserve"> doby a vypořádání všech závazků</w:t>
      </w:r>
      <w:r w:rsidRPr="008C4CBA">
        <w:rPr>
          <w:rFonts w:ascii="Arial" w:hAnsi="Arial" w:cs="Arial"/>
          <w:sz w:val="22"/>
          <w:szCs w:val="22"/>
        </w:rPr>
        <w:t xml:space="preserve"> mezi </w:t>
      </w:r>
      <w:r w:rsidR="00620CE1" w:rsidRPr="008C4CBA">
        <w:rPr>
          <w:rFonts w:ascii="Arial" w:hAnsi="Arial" w:cs="Arial"/>
          <w:sz w:val="22"/>
          <w:szCs w:val="22"/>
        </w:rPr>
        <w:t>d</w:t>
      </w:r>
      <w:r w:rsidRPr="008C4CBA">
        <w:rPr>
          <w:rFonts w:ascii="Arial" w:hAnsi="Arial" w:cs="Arial"/>
          <w:sz w:val="22"/>
          <w:szCs w:val="22"/>
        </w:rPr>
        <w:t>odavatelem a objednatelem.</w:t>
      </w:r>
    </w:p>
    <w:p w14:paraId="6B5C9C2B"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5ADFFDAE" w14:textId="77777777" w:rsidR="00D86A0D"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Bankovní záruka zajišťuje řádné odstranění vad uplatněných objednatelem vůči </w:t>
      </w:r>
      <w:r w:rsidR="00620CE1" w:rsidRPr="008C4CBA">
        <w:rPr>
          <w:rFonts w:ascii="Arial" w:hAnsi="Arial" w:cs="Arial"/>
          <w:sz w:val="22"/>
          <w:szCs w:val="22"/>
        </w:rPr>
        <w:t>d</w:t>
      </w:r>
      <w:r w:rsidRPr="008C4CBA">
        <w:rPr>
          <w:rFonts w:ascii="Arial" w:hAnsi="Arial" w:cs="Arial"/>
          <w:sz w:val="22"/>
          <w:szCs w:val="22"/>
        </w:rPr>
        <w:t>odavateli z titulu odpovědnosti za vady díla v záruční době, přičemž platí, že:</w:t>
      </w:r>
    </w:p>
    <w:p w14:paraId="5E13D0F4"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v případě jakékoli změny záruční lhůty je </w:t>
      </w:r>
      <w:r w:rsidR="00620CE1" w:rsidRPr="008C4CBA">
        <w:rPr>
          <w:rFonts w:ascii="Arial" w:hAnsi="Arial" w:cs="Arial"/>
          <w:sz w:val="22"/>
          <w:szCs w:val="22"/>
        </w:rPr>
        <w:t>d</w:t>
      </w:r>
      <w:r w:rsidRPr="008C4CBA">
        <w:rPr>
          <w:rFonts w:ascii="Arial" w:hAnsi="Arial" w:cs="Arial"/>
          <w:sz w:val="22"/>
          <w:szCs w:val="22"/>
        </w:rPr>
        <w:t>odavatel povinen platnost bankovní záruky prodloužit tak, aby trvala po celou dobu záruční lhůty;</w:t>
      </w:r>
    </w:p>
    <w:p w14:paraId="39440B30"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právo ze záruky je objednatel oprávněn uplatnit v případech, že </w:t>
      </w:r>
      <w:r w:rsidR="00620CE1" w:rsidRPr="008C4CBA">
        <w:rPr>
          <w:rFonts w:ascii="Arial" w:hAnsi="Arial" w:cs="Arial"/>
          <w:sz w:val="22"/>
          <w:szCs w:val="22"/>
        </w:rPr>
        <w:t>d</w:t>
      </w:r>
      <w:r w:rsidRPr="008C4CBA">
        <w:rPr>
          <w:rFonts w:ascii="Arial" w:hAnsi="Arial" w:cs="Arial"/>
          <w:sz w:val="22"/>
          <w:szCs w:val="22"/>
        </w:rPr>
        <w:t xml:space="preserve">odavatel neodstranil vadu díla způsobem a v době, k nimž je podle příslušných ustanovení </w:t>
      </w:r>
      <w:r w:rsidR="00620CE1" w:rsidRPr="008C4CBA">
        <w:rPr>
          <w:rFonts w:ascii="Arial" w:hAnsi="Arial" w:cs="Arial"/>
          <w:sz w:val="22"/>
          <w:szCs w:val="22"/>
        </w:rPr>
        <w:t>Smlouvy</w:t>
      </w:r>
      <w:r w:rsidRPr="008C4CBA">
        <w:rPr>
          <w:rFonts w:ascii="Arial" w:hAnsi="Arial" w:cs="Arial"/>
          <w:sz w:val="22"/>
          <w:szCs w:val="22"/>
        </w:rPr>
        <w:t xml:space="preserve"> k odstraňování vad v záruční lhůtě povinen;</w:t>
      </w:r>
    </w:p>
    <w:p w14:paraId="026E1585" w14:textId="77777777" w:rsidR="00D86A0D" w:rsidRPr="008C4CBA" w:rsidRDefault="00D86A0D" w:rsidP="00896968">
      <w:pPr>
        <w:numPr>
          <w:ilvl w:val="0"/>
          <w:numId w:val="26"/>
        </w:numPr>
        <w:tabs>
          <w:tab w:val="left" w:pos="284"/>
        </w:tabs>
        <w:autoSpaceDE w:val="0"/>
        <w:rPr>
          <w:rFonts w:ascii="Arial" w:hAnsi="Arial" w:cs="Arial"/>
          <w:sz w:val="22"/>
          <w:szCs w:val="22"/>
        </w:rPr>
      </w:pPr>
      <w:r w:rsidRPr="008C4CBA">
        <w:rPr>
          <w:rFonts w:ascii="Arial" w:hAnsi="Arial" w:cs="Arial"/>
          <w:sz w:val="22"/>
          <w:szCs w:val="22"/>
        </w:rPr>
        <w:t xml:space="preserve">nepředložení bankovní záruky v požadovaném termínu je důvodem </w:t>
      </w:r>
      <w:r w:rsidRPr="008C4CBA">
        <w:rPr>
          <w:rFonts w:ascii="Arial" w:hAnsi="Arial" w:cs="Arial"/>
          <w:sz w:val="22"/>
          <w:szCs w:val="22"/>
        </w:rPr>
        <w:br/>
        <w:t>k nepřevzetí dokončeného díla a uplatnění sankcí pro nedodržení termínu dokončení a předání díla.</w:t>
      </w:r>
    </w:p>
    <w:p w14:paraId="543C4411" w14:textId="77777777" w:rsidR="00D86A0D" w:rsidRPr="008C4CBA" w:rsidRDefault="00D86A0D" w:rsidP="00C603CF">
      <w:pPr>
        <w:tabs>
          <w:tab w:val="left" w:pos="284"/>
        </w:tabs>
        <w:autoSpaceDE w:val="0"/>
        <w:autoSpaceDN w:val="0"/>
        <w:adjustRightInd w:val="0"/>
        <w:spacing w:line="276" w:lineRule="auto"/>
        <w:ind w:left="567" w:hanging="567"/>
        <w:rPr>
          <w:rFonts w:ascii="Arial" w:hAnsi="Arial" w:cs="Arial"/>
          <w:sz w:val="22"/>
          <w:szCs w:val="22"/>
        </w:rPr>
      </w:pPr>
    </w:p>
    <w:p w14:paraId="270C1539" w14:textId="77777777" w:rsidR="009F3B44" w:rsidRPr="008C4CBA" w:rsidRDefault="00D86A0D" w:rsidP="00896968">
      <w:pPr>
        <w:numPr>
          <w:ilvl w:val="0"/>
          <w:numId w:val="28"/>
        </w:numPr>
        <w:tabs>
          <w:tab w:val="left" w:pos="284"/>
        </w:tabs>
        <w:autoSpaceDE w:val="0"/>
        <w:ind w:left="567" w:hanging="567"/>
        <w:rPr>
          <w:rFonts w:ascii="Arial" w:hAnsi="Arial" w:cs="Arial"/>
          <w:sz w:val="22"/>
          <w:szCs w:val="22"/>
        </w:rPr>
      </w:pPr>
      <w:r w:rsidRPr="008C4CBA">
        <w:rPr>
          <w:rFonts w:ascii="Arial" w:hAnsi="Arial" w:cs="Arial"/>
          <w:sz w:val="22"/>
          <w:szCs w:val="22"/>
        </w:rPr>
        <w:t xml:space="preserve">Náklady na poskytnutí bankovní záruky a veškeré další výdaje vzniklé v souvislosti </w:t>
      </w:r>
      <w:r w:rsidRPr="008C4CBA">
        <w:rPr>
          <w:rFonts w:ascii="Arial" w:hAnsi="Arial" w:cs="Arial"/>
          <w:sz w:val="22"/>
          <w:szCs w:val="22"/>
        </w:rPr>
        <w:br/>
        <w:t xml:space="preserve">s plněním povinností dle tohoto článku nese </w:t>
      </w:r>
      <w:r w:rsidR="00620CE1" w:rsidRPr="008C4CBA">
        <w:rPr>
          <w:rFonts w:ascii="Arial" w:hAnsi="Arial" w:cs="Arial"/>
          <w:sz w:val="22"/>
          <w:szCs w:val="22"/>
        </w:rPr>
        <w:t>d</w:t>
      </w:r>
      <w:r w:rsidRPr="008C4CBA">
        <w:rPr>
          <w:rFonts w:ascii="Arial" w:hAnsi="Arial" w:cs="Arial"/>
          <w:sz w:val="22"/>
          <w:szCs w:val="22"/>
        </w:rPr>
        <w:t>odavatel.</w:t>
      </w:r>
    </w:p>
    <w:p w14:paraId="1596FC68" w14:textId="77777777" w:rsidR="009F3B44" w:rsidRPr="008C4CBA" w:rsidRDefault="009F3B44" w:rsidP="007D1F3F">
      <w:pPr>
        <w:tabs>
          <w:tab w:val="left" w:pos="360"/>
          <w:tab w:val="left" w:pos="3930"/>
          <w:tab w:val="center" w:pos="4606"/>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77777777"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lastRenderedPageBreak/>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991FD8C" w14:textId="5CE9FEB3" w:rsidR="000E102E" w:rsidRPr="008C4CBA" w:rsidRDefault="000E102E" w:rsidP="00896968">
      <w:pPr>
        <w:numPr>
          <w:ilvl w:val="1"/>
          <w:numId w:val="11"/>
        </w:numPr>
        <w:tabs>
          <w:tab w:val="clear" w:pos="1080"/>
        </w:tabs>
        <w:autoSpaceDE w:val="0"/>
        <w:ind w:left="567" w:hanging="567"/>
        <w:rPr>
          <w:rFonts w:ascii="Arial" w:hAnsi="Arial" w:cs="Arial"/>
          <w:sz w:val="22"/>
          <w:szCs w:val="22"/>
          <w:shd w:val="clear" w:color="auto" w:fill="FFFF00"/>
        </w:rPr>
      </w:pPr>
      <w:r w:rsidRPr="008C4CBA">
        <w:rPr>
          <w:rFonts w:ascii="Arial" w:hAnsi="Arial" w:cs="Arial"/>
          <w:sz w:val="22"/>
          <w:szCs w:val="22"/>
        </w:rPr>
        <w:t xml:space="preserve">Smluvní strany prohlašují, že si </w:t>
      </w:r>
      <w:r w:rsidR="00D168EF" w:rsidRPr="008C4CBA">
        <w:rPr>
          <w:rFonts w:ascii="Arial" w:hAnsi="Arial" w:cs="Arial"/>
          <w:sz w:val="22"/>
          <w:szCs w:val="22"/>
        </w:rPr>
        <w:t>S</w:t>
      </w:r>
      <w:r w:rsidRPr="008C4CBA">
        <w:rPr>
          <w:rFonts w:ascii="Arial" w:hAnsi="Arial" w:cs="Arial"/>
          <w:sz w:val="22"/>
          <w:szCs w:val="22"/>
        </w:rPr>
        <w:t>mlouvu přečetly, s obsahem souhlasí a na důkaz jejich svobodné, pravé a vážné vůle připoj</w:t>
      </w:r>
      <w:r w:rsidR="00D168EF" w:rsidRPr="008C4CBA">
        <w:rPr>
          <w:rFonts w:ascii="Arial" w:hAnsi="Arial" w:cs="Arial"/>
          <w:sz w:val="22"/>
          <w:szCs w:val="22"/>
        </w:rPr>
        <w:t>ují své podpisy. Uzavření této S</w:t>
      </w:r>
      <w:r w:rsidRPr="008C4CBA">
        <w:rPr>
          <w:rFonts w:ascii="Arial" w:hAnsi="Arial" w:cs="Arial"/>
          <w:sz w:val="22"/>
          <w:szCs w:val="22"/>
        </w:rPr>
        <w:t>mlouvy bylo schváleno usnesením</w:t>
      </w:r>
      <w:r w:rsidR="00576B26">
        <w:rPr>
          <w:rFonts w:ascii="Arial" w:hAnsi="Arial" w:cs="Arial"/>
          <w:sz w:val="22"/>
          <w:szCs w:val="22"/>
        </w:rPr>
        <w:t xml:space="preserve"> Rady Středočeského kraje č. 054-22/2024/RK ze dne </w:t>
      </w:r>
      <w:proofErr w:type="gramStart"/>
      <w:r w:rsidR="00576B26">
        <w:rPr>
          <w:rFonts w:ascii="Arial" w:hAnsi="Arial" w:cs="Arial"/>
          <w:sz w:val="22"/>
          <w:szCs w:val="22"/>
        </w:rPr>
        <w:t>6.6.2024</w:t>
      </w:r>
      <w:proofErr w:type="gramEnd"/>
      <w:r w:rsidR="00576B26">
        <w:rPr>
          <w:rFonts w:ascii="Arial" w:hAnsi="Arial" w:cs="Arial"/>
          <w:sz w:val="22"/>
          <w:szCs w:val="22"/>
        </w:rPr>
        <w:t>.</w:t>
      </w:r>
    </w:p>
    <w:p w14:paraId="10B8A546" w14:textId="77777777" w:rsidR="006B1A51" w:rsidRPr="008C4CBA" w:rsidRDefault="006B1A51" w:rsidP="006B1A51">
      <w:pPr>
        <w:pStyle w:val="Odstavecseseznamem"/>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lastRenderedPageBreak/>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17DD101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1: Harmonogram plnění </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16BF0DE3"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3A84748A"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06779905"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 xml:space="preserve">Příloha č. 5: Seznam poddodavatelů </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1FDC89F1" w14:textId="77777777" w:rsidR="000406CC" w:rsidRPr="00746FCA" w:rsidRDefault="000406CC">
      <w:pPr>
        <w:autoSpaceDE w:val="0"/>
        <w:rPr>
          <w:rFonts w:ascii="Arial" w:hAnsi="Arial" w:cs="Arial"/>
          <w:sz w:val="22"/>
          <w:szCs w:val="22"/>
        </w:rPr>
      </w:pP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3E87604" w:rsidR="002774DE" w:rsidRPr="00746FCA" w:rsidRDefault="00F1058D" w:rsidP="002774DE">
      <w:pPr>
        <w:autoSpaceDE w:val="0"/>
        <w:jc w:val="left"/>
        <w:rPr>
          <w:rFonts w:ascii="Arial" w:hAnsi="Arial" w:cs="Arial"/>
          <w:sz w:val="22"/>
          <w:szCs w:val="22"/>
        </w:rPr>
      </w:pPr>
      <w:r>
        <w:rPr>
          <w:rFonts w:ascii="Arial" w:hAnsi="Arial" w:cs="Arial"/>
          <w:sz w:val="22"/>
          <w:szCs w:val="22"/>
        </w:rPr>
        <w:t>BFK service a.s.</w:t>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Pr>
          <w:rFonts w:ascii="Arial" w:hAnsi="Arial" w:cs="Arial"/>
          <w:bCs/>
          <w:sz w:val="22"/>
          <w:szCs w:val="22"/>
        </w:rPr>
        <w:tab/>
      </w:r>
      <w:r w:rsidR="00F302CB" w:rsidRPr="00042138">
        <w:rPr>
          <w:rFonts w:ascii="Arial" w:hAnsi="Arial" w:cs="Arial"/>
          <w:bCs/>
          <w:sz w:val="22"/>
          <w:szCs w:val="22"/>
        </w:rPr>
        <w:t xml:space="preserve"> </w:t>
      </w:r>
      <w:r w:rsidR="00DA2526" w:rsidRPr="00042138">
        <w:rPr>
          <w:rFonts w:ascii="Arial" w:hAnsi="Arial" w:cs="Arial"/>
          <w:bCs/>
          <w:sz w:val="22"/>
          <w:szCs w:val="22"/>
        </w:rPr>
        <w:tab/>
      </w:r>
      <w:r w:rsidR="00854540">
        <w:rPr>
          <w:rFonts w:ascii="Arial" w:hAnsi="Arial" w:cs="Arial"/>
          <w:bCs/>
          <w:sz w:val="22"/>
          <w:szCs w:val="22"/>
        </w:rPr>
        <w:t xml:space="preserve">Regionální muzeum V Kolíně, </w:t>
      </w:r>
      <w:proofErr w:type="spellStart"/>
      <w:r w:rsidR="00854540">
        <w:rPr>
          <w:rFonts w:ascii="Arial" w:hAnsi="Arial" w:cs="Arial"/>
          <w:bCs/>
          <w:sz w:val="22"/>
          <w:szCs w:val="22"/>
        </w:rPr>
        <w:t>p.o</w:t>
      </w:r>
      <w:proofErr w:type="spellEnd"/>
      <w:r w:rsidR="00854540">
        <w:rPr>
          <w:rFonts w:ascii="Arial" w:hAnsi="Arial" w:cs="Arial"/>
          <w:bCs/>
          <w:sz w:val="22"/>
          <w:szCs w:val="22"/>
        </w:rPr>
        <w:t>.</w:t>
      </w:r>
      <w:r w:rsidR="00BB29F9" w:rsidRPr="00BB29F9">
        <w:rPr>
          <w:rFonts w:ascii="Arial" w:hAnsi="Arial" w:cs="Arial"/>
          <w:bCs/>
          <w:sz w:val="22"/>
          <w:szCs w:val="22"/>
        </w:rPr>
        <w:t xml:space="preserve"> </w:t>
      </w:r>
      <w:r w:rsidR="000E102E" w:rsidRPr="00746FCA">
        <w:rPr>
          <w:rFonts w:ascii="Arial" w:hAnsi="Arial" w:cs="Arial"/>
          <w:bCs/>
          <w:sz w:val="22"/>
          <w:szCs w:val="22"/>
        </w:rPr>
        <w:t xml:space="preserve">       </w:t>
      </w:r>
      <w:r w:rsidR="002774DE" w:rsidRPr="00746FCA">
        <w:rPr>
          <w:rFonts w:ascii="Arial" w:hAnsi="Arial" w:cs="Arial"/>
          <w:bCs/>
          <w:sz w:val="22"/>
          <w:szCs w:val="22"/>
        </w:rPr>
        <w:t xml:space="preserve">       </w:t>
      </w:r>
      <w:r w:rsidR="000E102E" w:rsidRPr="00746FCA">
        <w:rPr>
          <w:rFonts w:ascii="Arial" w:hAnsi="Arial" w:cs="Arial"/>
          <w:sz w:val="22"/>
          <w:szCs w:val="22"/>
        </w:rPr>
        <w:t xml:space="preserve">                                                                 </w:t>
      </w:r>
      <w:r w:rsidR="002774DE" w:rsidRPr="00746FCA">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6F896EF4" w:rsidR="000E102E" w:rsidRPr="00746FCA" w:rsidRDefault="00952F06" w:rsidP="002774DE">
      <w:pPr>
        <w:autoSpaceDE w:val="0"/>
        <w:jc w:val="left"/>
        <w:rPr>
          <w:rFonts w:ascii="Arial" w:hAnsi="Arial" w:cs="Arial"/>
          <w:sz w:val="22"/>
          <w:szCs w:val="22"/>
        </w:rPr>
      </w:pPr>
      <w:r>
        <w:rPr>
          <w:rFonts w:ascii="Arial" w:hAnsi="Arial" w:cs="Arial"/>
          <w:sz w:val="22"/>
          <w:szCs w:val="22"/>
        </w:rPr>
        <w:t>_________________________</w:t>
      </w:r>
      <w:r w:rsidR="00DA2526" w:rsidRPr="00746FCA">
        <w:rPr>
          <w:rFonts w:ascii="Arial" w:hAnsi="Arial" w:cs="Arial"/>
          <w:sz w:val="22"/>
          <w:szCs w:val="22"/>
        </w:rPr>
        <w:tab/>
      </w:r>
      <w:r w:rsidR="00DA2526" w:rsidRPr="00746FCA">
        <w:rPr>
          <w:rFonts w:ascii="Arial" w:hAnsi="Arial" w:cs="Arial"/>
          <w:sz w:val="22"/>
          <w:szCs w:val="22"/>
        </w:rPr>
        <w:tab/>
      </w:r>
      <w:r>
        <w:rPr>
          <w:rFonts w:ascii="Arial" w:hAnsi="Arial" w:cs="Arial"/>
          <w:sz w:val="22"/>
          <w:szCs w:val="22"/>
        </w:rPr>
        <w:t xml:space="preserve">         ___________________________</w:t>
      </w:r>
    </w:p>
    <w:p w14:paraId="638D297F" w14:textId="0A120289" w:rsidR="00BB29F9" w:rsidRPr="00BB29F9" w:rsidRDefault="00084B7D" w:rsidP="00084B7D">
      <w:pPr>
        <w:spacing w:line="276" w:lineRule="auto"/>
        <w:rPr>
          <w:rFonts w:ascii="Arial" w:hAnsi="Arial" w:cs="Arial"/>
          <w:sz w:val="22"/>
          <w:szCs w:val="22"/>
        </w:rPr>
      </w:pPr>
      <w:r>
        <w:rPr>
          <w:rFonts w:ascii="Arial" w:hAnsi="Arial" w:cs="Arial"/>
          <w:sz w:val="22"/>
          <w:szCs w:val="22"/>
          <w:lang w:eastAsia="cs-CZ"/>
        </w:rPr>
        <w:t>Ing. Jiří Fořt, člen představenstva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854540">
        <w:rPr>
          <w:rFonts w:ascii="Arial" w:hAnsi="Arial" w:cs="Arial"/>
          <w:sz w:val="22"/>
          <w:szCs w:val="22"/>
        </w:rPr>
        <w:t>Mgr. Vladimír Rišlink</w:t>
      </w:r>
      <w:r w:rsidR="00BB29F9" w:rsidRPr="00BB29F9">
        <w:rPr>
          <w:rFonts w:ascii="Arial" w:hAnsi="Arial" w:cs="Arial"/>
          <w:sz w:val="22"/>
          <w:szCs w:val="22"/>
        </w:rPr>
        <w:t>,</w:t>
      </w:r>
      <w:r w:rsidR="00854540">
        <w:rPr>
          <w:rFonts w:ascii="Arial" w:hAnsi="Arial" w:cs="Arial"/>
          <w:sz w:val="22"/>
          <w:szCs w:val="22"/>
        </w:rPr>
        <w:t xml:space="preserve"> ředitel</w:t>
      </w:r>
    </w:p>
    <w:p w14:paraId="3754D5D5" w14:textId="73F1C20A" w:rsidR="00786EAE" w:rsidRPr="00576B26" w:rsidRDefault="00786EAE" w:rsidP="00576B26">
      <w:pPr>
        <w:spacing w:line="276" w:lineRule="auto"/>
        <w:rPr>
          <w:rFonts w:ascii="Arial" w:hAnsi="Arial" w:cs="Arial"/>
          <w:bCs/>
          <w:sz w:val="22"/>
          <w:szCs w:val="22"/>
        </w:rPr>
      </w:pPr>
      <w:bookmarkStart w:id="6" w:name="_GoBack"/>
      <w:bookmarkEnd w:id="6"/>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6F1479">
      <w:headerReference w:type="default" r:id="rId12"/>
      <w:footerReference w:type="default" r:id="rId13"/>
      <w:footnotePr>
        <w:numFmt w:val="chicago"/>
      </w:footnotePr>
      <w:pgSz w:w="11906" w:h="16838"/>
      <w:pgMar w:top="2127"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4449B" w14:textId="77777777" w:rsidR="00215BCA" w:rsidRDefault="00215BCA">
      <w:pPr>
        <w:spacing w:line="240" w:lineRule="auto"/>
      </w:pPr>
      <w:r>
        <w:separator/>
      </w:r>
    </w:p>
  </w:endnote>
  <w:endnote w:type="continuationSeparator" w:id="0">
    <w:p w14:paraId="17517C2E" w14:textId="77777777" w:rsidR="00215BCA" w:rsidRDefault="00215BCA">
      <w:pPr>
        <w:spacing w:line="240" w:lineRule="auto"/>
      </w:pPr>
      <w:r>
        <w:continuationSeparator/>
      </w:r>
    </w:p>
  </w:endnote>
  <w:endnote w:type="continuationNotice" w:id="1">
    <w:p w14:paraId="571E91F7" w14:textId="77777777" w:rsidR="00215BCA" w:rsidRDefault="00215B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5D70" w14:textId="7083FEA0" w:rsidR="00E65FC2" w:rsidRDefault="00E65FC2" w:rsidP="009F76EA">
    <w:pPr>
      <w:pStyle w:val="Zpat"/>
      <w:jc w:val="center"/>
    </w:pPr>
    <w:r>
      <w:t xml:space="preserve">- </w:t>
    </w:r>
    <w:r>
      <w:fldChar w:fldCharType="begin"/>
    </w:r>
    <w:r>
      <w:instrText>PAGE   \* MERGEFORMAT</w:instrText>
    </w:r>
    <w:r>
      <w:fldChar w:fldCharType="separate"/>
    </w:r>
    <w:r w:rsidR="00576B26" w:rsidRPr="00576B26">
      <w:rPr>
        <w:noProof/>
        <w:lang w:val="cs-CZ"/>
      </w:rPr>
      <w:t>30</w:t>
    </w:r>
    <w:r>
      <w:fldChar w:fldCharType="end"/>
    </w:r>
    <w:r>
      <w:rPr>
        <w:lang w:val="cs-CZ"/>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953E4" w14:textId="77777777" w:rsidR="00215BCA" w:rsidRDefault="00215BCA">
      <w:pPr>
        <w:spacing w:line="240" w:lineRule="auto"/>
      </w:pPr>
      <w:r>
        <w:separator/>
      </w:r>
    </w:p>
  </w:footnote>
  <w:footnote w:type="continuationSeparator" w:id="0">
    <w:p w14:paraId="2676214B" w14:textId="77777777" w:rsidR="00215BCA" w:rsidRDefault="00215BCA">
      <w:pPr>
        <w:spacing w:line="240" w:lineRule="auto"/>
      </w:pPr>
      <w:r>
        <w:continuationSeparator/>
      </w:r>
    </w:p>
  </w:footnote>
  <w:footnote w:type="continuationNotice" w:id="1">
    <w:p w14:paraId="0A2A11C7" w14:textId="77777777" w:rsidR="00215BCA" w:rsidRDefault="00215BCA">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2826A" w14:textId="78061AFE" w:rsidR="006F1479" w:rsidRPr="00933A34" w:rsidRDefault="00D91602" w:rsidP="006F1479">
    <w:pPr>
      <w:pStyle w:val="Zhlav"/>
      <w:rPr>
        <w:b/>
        <w:bCs/>
        <w:color w:val="FF0000"/>
      </w:rPr>
    </w:pPr>
    <w:r>
      <w:rPr>
        <w:rFonts w:ascii="Arial" w:eastAsia="Calibri" w:hAnsi="Arial" w:cs="Arial"/>
        <w:b/>
        <w:bCs/>
        <w:noProof/>
        <w:color w:val="FF0000"/>
        <w:sz w:val="22"/>
        <w:szCs w:val="22"/>
        <w:lang w:val="cs-CZ" w:eastAsia="cs-CZ"/>
      </w:rPr>
      <w:drawing>
        <wp:inline distT="0" distB="0" distL="0" distR="0" wp14:anchorId="29094029" wp14:editId="681D542D">
          <wp:extent cx="5761355" cy="694690"/>
          <wp:effectExtent l="0" t="0" r="0" b="0"/>
          <wp:docPr id="976793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3"/>
  </w:num>
  <w:num w:numId="3">
    <w:abstractNumId w:val="34"/>
  </w:num>
  <w:num w:numId="4">
    <w:abstractNumId w:val="45"/>
  </w:num>
  <w:num w:numId="5">
    <w:abstractNumId w:val="46"/>
  </w:num>
  <w:num w:numId="6">
    <w:abstractNumId w:val="47"/>
  </w:num>
  <w:num w:numId="7">
    <w:abstractNumId w:val="60"/>
  </w:num>
  <w:num w:numId="8">
    <w:abstractNumId w:val="54"/>
  </w:num>
  <w:num w:numId="9">
    <w:abstractNumId w:val="67"/>
  </w:num>
  <w:num w:numId="10">
    <w:abstractNumId w:val="48"/>
  </w:num>
  <w:num w:numId="11">
    <w:abstractNumId w:val="64"/>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63"/>
  </w:num>
  <w:num w:numId="15">
    <w:abstractNumId w:val="62"/>
  </w:num>
  <w:num w:numId="16">
    <w:abstractNumId w:val="61"/>
  </w:num>
  <w:num w:numId="17">
    <w:abstractNumId w:val="71"/>
  </w:num>
  <w:num w:numId="18">
    <w:abstractNumId w:val="53"/>
  </w:num>
  <w:num w:numId="19">
    <w:abstractNumId w:val="72"/>
  </w:num>
  <w:num w:numId="20">
    <w:abstractNumId w:val="65"/>
  </w:num>
  <w:num w:numId="21">
    <w:abstractNumId w:val="69"/>
  </w:num>
  <w:num w:numId="22">
    <w:abstractNumId w:val="68"/>
  </w:num>
  <w:num w:numId="23">
    <w:abstractNumId w:val="59"/>
  </w:num>
  <w:num w:numId="24">
    <w:abstractNumId w:val="10"/>
  </w:num>
  <w:num w:numId="25">
    <w:abstractNumId w:val="14"/>
  </w:num>
  <w:num w:numId="26">
    <w:abstractNumId w:val="70"/>
  </w:num>
  <w:num w:numId="27">
    <w:abstractNumId w:val="0"/>
  </w:num>
  <w:num w:numId="28">
    <w:abstractNumId w:val="49"/>
  </w:num>
  <w:num w:numId="29">
    <w:abstractNumId w:val="50"/>
  </w:num>
  <w:num w:numId="30">
    <w:abstractNumId w:val="11"/>
  </w:num>
  <w:num w:numId="31">
    <w:abstractNumId w:val="12"/>
  </w:num>
  <w:num w:numId="32">
    <w:abstractNumId w:val="19"/>
  </w:num>
  <w:num w:numId="33">
    <w:abstractNumId w:val="25"/>
  </w:num>
  <w:num w:numId="34">
    <w:abstractNumId w:val="26"/>
  </w:num>
  <w:num w:numId="35">
    <w:abstractNumId w:val="28"/>
  </w:num>
  <w:num w:numId="36">
    <w:abstractNumId w:val="29"/>
  </w:num>
  <w:num w:numId="37">
    <w:abstractNumId w:val="30"/>
  </w:num>
  <w:num w:numId="38">
    <w:abstractNumId w:val="38"/>
  </w:num>
  <w:num w:numId="39">
    <w:abstractNumId w:val="43"/>
  </w:num>
  <w:num w:numId="40">
    <w:abstractNumId w:val="66"/>
  </w:num>
  <w:num w:numId="41">
    <w:abstractNumId w:val="52"/>
  </w:num>
  <w:num w:numId="42">
    <w:abstractNumId w:val="57"/>
  </w:num>
  <w:num w:numId="43">
    <w:abstractNumId w:val="27"/>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B7D"/>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3F5C"/>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3FD"/>
    <w:rsid w:val="00153D87"/>
    <w:rsid w:val="00154234"/>
    <w:rsid w:val="0015484D"/>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D0F52"/>
    <w:rsid w:val="001D16BF"/>
    <w:rsid w:val="001D1B84"/>
    <w:rsid w:val="001D1EE7"/>
    <w:rsid w:val="001D21CB"/>
    <w:rsid w:val="001D2CD9"/>
    <w:rsid w:val="001D3194"/>
    <w:rsid w:val="001D3626"/>
    <w:rsid w:val="001D3752"/>
    <w:rsid w:val="001D3E48"/>
    <w:rsid w:val="001D46F2"/>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BCA"/>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5E3B"/>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4F90"/>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224F"/>
    <w:rsid w:val="00572810"/>
    <w:rsid w:val="00573B37"/>
    <w:rsid w:val="0057467F"/>
    <w:rsid w:val="00574CB9"/>
    <w:rsid w:val="00574DF9"/>
    <w:rsid w:val="00574F12"/>
    <w:rsid w:val="00575F70"/>
    <w:rsid w:val="005768FB"/>
    <w:rsid w:val="00576B26"/>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6CD"/>
    <w:rsid w:val="005A08DB"/>
    <w:rsid w:val="005A0D86"/>
    <w:rsid w:val="005A18B9"/>
    <w:rsid w:val="005A21BC"/>
    <w:rsid w:val="005A2DE9"/>
    <w:rsid w:val="005A3082"/>
    <w:rsid w:val="005A3E1E"/>
    <w:rsid w:val="005A44BA"/>
    <w:rsid w:val="005A4916"/>
    <w:rsid w:val="005A5AE8"/>
    <w:rsid w:val="005A5E91"/>
    <w:rsid w:val="005A636C"/>
    <w:rsid w:val="005A6370"/>
    <w:rsid w:val="005A6D9E"/>
    <w:rsid w:val="005A7EB1"/>
    <w:rsid w:val="005B09EB"/>
    <w:rsid w:val="005B31E3"/>
    <w:rsid w:val="005B3748"/>
    <w:rsid w:val="005B45A1"/>
    <w:rsid w:val="005C0630"/>
    <w:rsid w:val="005C16B4"/>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65D8"/>
    <w:rsid w:val="007776DD"/>
    <w:rsid w:val="00777802"/>
    <w:rsid w:val="00777C1A"/>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540"/>
    <w:rsid w:val="008546A9"/>
    <w:rsid w:val="008547F9"/>
    <w:rsid w:val="00854A73"/>
    <w:rsid w:val="008551DF"/>
    <w:rsid w:val="00856297"/>
    <w:rsid w:val="0086039F"/>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708"/>
    <w:rsid w:val="00884CA1"/>
    <w:rsid w:val="00885344"/>
    <w:rsid w:val="00885E2E"/>
    <w:rsid w:val="008869B0"/>
    <w:rsid w:val="00886AF9"/>
    <w:rsid w:val="00887DF6"/>
    <w:rsid w:val="00890656"/>
    <w:rsid w:val="008911EE"/>
    <w:rsid w:val="00891244"/>
    <w:rsid w:val="0089144A"/>
    <w:rsid w:val="00891F46"/>
    <w:rsid w:val="00892E26"/>
    <w:rsid w:val="008937C8"/>
    <w:rsid w:val="0089470E"/>
    <w:rsid w:val="00894B2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A34"/>
    <w:rsid w:val="00933F1F"/>
    <w:rsid w:val="00933FA2"/>
    <w:rsid w:val="009347DA"/>
    <w:rsid w:val="009350E3"/>
    <w:rsid w:val="00935532"/>
    <w:rsid w:val="009355B4"/>
    <w:rsid w:val="00935897"/>
    <w:rsid w:val="0093655F"/>
    <w:rsid w:val="009367B4"/>
    <w:rsid w:val="00936B55"/>
    <w:rsid w:val="009378C7"/>
    <w:rsid w:val="009403D9"/>
    <w:rsid w:val="00940BF1"/>
    <w:rsid w:val="00940F3D"/>
    <w:rsid w:val="0094209D"/>
    <w:rsid w:val="00942965"/>
    <w:rsid w:val="00942BFF"/>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2F06"/>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72AB"/>
    <w:rsid w:val="009B7A44"/>
    <w:rsid w:val="009B7C3A"/>
    <w:rsid w:val="009C0827"/>
    <w:rsid w:val="009C14C8"/>
    <w:rsid w:val="009C160B"/>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920"/>
    <w:rsid w:val="00AF1B67"/>
    <w:rsid w:val="00AF2D88"/>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66FA"/>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911"/>
    <w:rsid w:val="00B97ECD"/>
    <w:rsid w:val="00BA0D32"/>
    <w:rsid w:val="00BA35A1"/>
    <w:rsid w:val="00BA37AD"/>
    <w:rsid w:val="00BA4FDD"/>
    <w:rsid w:val="00BA54BB"/>
    <w:rsid w:val="00BA608A"/>
    <w:rsid w:val="00BA61AD"/>
    <w:rsid w:val="00BA6449"/>
    <w:rsid w:val="00BA6EEB"/>
    <w:rsid w:val="00BA72B7"/>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4F38"/>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6B6"/>
    <w:rsid w:val="00C50730"/>
    <w:rsid w:val="00C51099"/>
    <w:rsid w:val="00C512D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CEF"/>
    <w:rsid w:val="00CE5D8D"/>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4E75"/>
    <w:rsid w:val="00D4555C"/>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1602"/>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3BBE"/>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695"/>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36A4"/>
    <w:rsid w:val="00E96627"/>
    <w:rsid w:val="00E96849"/>
    <w:rsid w:val="00EA0307"/>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58D"/>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UnresolvedMention">
    <w:name w:val="Unresolved Mention"/>
    <w:basedOn w:val="Standardnpsmoodstavce"/>
    <w:uiPriority w:val="99"/>
    <w:semiHidden/>
    <w:unhideWhenUsed/>
    <w:rsid w:val="00F105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 w:type="character" w:customStyle="1" w:styleId="UnresolvedMention">
    <w:name w:val="Unresolved Mention"/>
    <w:basedOn w:val="Standardnpsmoodstavce"/>
    <w:uiPriority w:val="99"/>
    <w:semiHidden/>
    <w:unhideWhenUsed/>
    <w:rsid w:val="00F1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8DB5432C-C791-417F-892C-6AA7720CC5F4}">
  <ds:schemaRefs>
    <ds:schemaRef ds:uri="http://schemas.microsoft.com/sharepoint/v3/contenttype/forms"/>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202D77-FC79-4443-93D2-7329E2C0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9617</Words>
  <Characters>56747</Characters>
  <Application>Microsoft Office Word</Application>
  <DocSecurity>0</DocSecurity>
  <Lines>472</Lines>
  <Paragraphs>132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66232</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Tereza Palánová</cp:lastModifiedBy>
  <cp:revision>2</cp:revision>
  <cp:lastPrinted>2018-08-27T08:58:00Z</cp:lastPrinted>
  <dcterms:created xsi:type="dcterms:W3CDTF">2024-07-24T11:42:00Z</dcterms:created>
  <dcterms:modified xsi:type="dcterms:W3CDTF">2024-07-24T11:42:00Z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