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OBJ-0672/2024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Lubomír Turčan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72/339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71744797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Znalecký posudek na vybavení pravoslavné kaple hřbitov Olšany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vyhotovení znaleckého posudku na vybavení pravoslavné kaple dle fotodokumentace</w:t>
              <w:br/>
              <w:t xml:space="preserve"> hřbitov Olšany.</w:t>
              <w:br/>
              <w:br/>
              <w:br/>
              <w:t>Termín provedení: konec srpna   2024</w:t>
              <w:br/>
              <w:br/>
              <w:t>Celková cena : do 55 000,- Kč / není plátcem DPH /</w:t>
              <w:br/>
              <w:br/>
              <w:br/>
              <w:br/>
              <w:t xml:space="preserve">                                              S pozdravem</w:t>
              <w:br/>
              <w:br/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15.07.2024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OBJ-0672/2024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