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Faunus Vidovle,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Výškov 151, 44001 Výškov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Výškov u Počerad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1 748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4 766,00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1 748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4 766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149N24/35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14912435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4 766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23.07.2024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01.10.2024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