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234CB67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5B4CE3">
        <w:rPr>
          <w:rFonts w:ascii="Arial" w:eastAsia="Times New Roman" w:hAnsi="Arial" w:cs="Arial"/>
          <w:color w:val="000000"/>
          <w:lang w:eastAsia="cs-CZ"/>
        </w:rPr>
        <w:t>XXXXX</w:t>
      </w:r>
      <w:r w:rsidRPr="00805361">
        <w:rPr>
          <w:rFonts w:ascii="Arial" w:eastAsia="Times New Roman" w:hAnsi="Arial" w:cs="Arial"/>
          <w:color w:val="000000"/>
          <w:lang w:eastAsia="cs-CZ"/>
        </w:rPr>
        <w:t>/</w:t>
      </w:r>
      <w:r w:rsidR="005B4CE3">
        <w:rPr>
          <w:rFonts w:ascii="Arial" w:eastAsia="Times New Roman" w:hAnsi="Arial" w:cs="Arial"/>
          <w:color w:val="000000"/>
          <w:lang w:eastAsia="cs-CZ"/>
        </w:rPr>
        <w:t>XXXX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A3AEC15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126E58">
        <w:rPr>
          <w:rFonts w:ascii="Arial" w:eastAsia="Arial" w:hAnsi="Arial" w:cs="Arial"/>
          <w:b/>
          <w:bCs/>
        </w:rPr>
        <w:t>Josef Ženíšek</w:t>
      </w:r>
    </w:p>
    <w:p w14:paraId="7725FE6A" w14:textId="13659C4A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827993">
        <w:rPr>
          <w:rFonts w:ascii="Arial" w:eastAsia="Arial" w:hAnsi="Arial" w:cs="Arial"/>
        </w:rPr>
        <w:t xml:space="preserve"> </w:t>
      </w:r>
      <w:r w:rsidR="002617B6">
        <w:rPr>
          <w:rFonts w:ascii="Arial" w:eastAsia="Arial" w:hAnsi="Arial" w:cs="Arial"/>
        </w:rPr>
        <w:t>Malířská 7, Praha 7, 17000</w:t>
      </w:r>
      <w:r w:rsidR="00407A7F">
        <w:rPr>
          <w:rFonts w:ascii="Arial" w:eastAsia="Arial" w:hAnsi="Arial" w:cs="Arial"/>
        </w:rPr>
        <w:t xml:space="preserve"> </w:t>
      </w:r>
    </w:p>
    <w:p w14:paraId="3005EFA3" w14:textId="492D5DA3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 w:rsidR="002617B6">
        <w:rPr>
          <w:rFonts w:ascii="Arial" w:eastAsia="Arial" w:hAnsi="Arial" w:cs="Arial"/>
        </w:rPr>
        <w:t>73822965</w:t>
      </w:r>
      <w:r>
        <w:rPr>
          <w:rFonts w:ascii="Arial" w:eastAsia="Arial" w:hAnsi="Arial" w:cs="Arial"/>
        </w:rPr>
        <w:t xml:space="preserve"> </w:t>
      </w:r>
    </w:p>
    <w:p w14:paraId="2BB4B265" w14:textId="0B9DA33C" w:rsidR="005572EA" w:rsidRDefault="00173119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t>bankovní účet</w:t>
      </w:r>
      <w:r w:rsidRPr="00985433">
        <w:rPr>
          <w:rFonts w:ascii="Arial" w:hAnsi="Arial" w:cs="Arial"/>
        </w:rPr>
        <w:t>:</w:t>
      </w:r>
      <w:r w:rsidR="005B4CE3">
        <w:rPr>
          <w:rFonts w:ascii="Arial" w:hAnsi="Arial" w:cs="Arial"/>
        </w:rPr>
        <w:t xml:space="preserve"> XXXXXX/XXXX</w:t>
      </w: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0A265433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3C0D0E" w:rsidRPr="00A4415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</w:t>
      </w:r>
      <w:r w:rsidR="00055CD3" w:rsidRPr="00A4415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</w:t>
      </w:r>
      <w:r w:rsidR="00A4415D" w:rsidRPr="00A4415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b</w:t>
      </w:r>
      <w:r w:rsidR="00055CD3" w:rsidRPr="00A4415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.00</w:t>
      </w:r>
      <w:r w:rsidR="00126E58" w:rsidRPr="00A4415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5</w:t>
      </w:r>
      <w:r w:rsidR="00055CD3" w:rsidRPr="00A4415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.2024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344B3AFC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 odborných konzultací</w:t>
      </w:r>
      <w:r w:rsidR="00126E58">
        <w:rPr>
          <w:rFonts w:ascii="Arial" w:hAnsi="Arial" w:cs="Arial"/>
        </w:rPr>
        <w:t>.</w:t>
      </w:r>
      <w:r w:rsidR="004B7A80">
        <w:rPr>
          <w:rFonts w:ascii="Arial" w:hAnsi="Arial" w:cs="Arial"/>
        </w:rPr>
        <w:t xml:space="preserve"> </w:t>
      </w:r>
    </w:p>
    <w:p w14:paraId="488F2E21" w14:textId="2C48FBEB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Rámcová smlouva o poskytování odborné konzultace projektu Vltavská filharmonie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</w:t>
      </w:r>
      <w:r w:rsidRPr="00827993">
        <w:rPr>
          <w:rFonts w:ascii="Arial" w:eastAsia="Times New Roman" w:hAnsi="Arial" w:cs="Arial"/>
          <w:lang w:eastAsia="cs-CZ"/>
        </w:rPr>
        <w:t xml:space="preserve">dne </w:t>
      </w:r>
      <w:r w:rsidR="00827993" w:rsidRPr="00827993">
        <w:rPr>
          <w:rFonts w:ascii="Arial" w:eastAsia="Times New Roman" w:hAnsi="Arial" w:cs="Arial"/>
          <w:lang w:eastAsia="cs-CZ"/>
        </w:rPr>
        <w:t>12</w:t>
      </w:r>
      <w:r w:rsidR="00126E58" w:rsidRPr="00827993">
        <w:rPr>
          <w:rFonts w:ascii="Arial" w:eastAsia="Times New Roman" w:hAnsi="Arial" w:cs="Arial"/>
          <w:lang w:eastAsia="cs-CZ"/>
        </w:rPr>
        <w:t>.</w:t>
      </w:r>
      <w:r w:rsidR="00827993" w:rsidRPr="00827993">
        <w:rPr>
          <w:rFonts w:ascii="Arial" w:eastAsia="Times New Roman" w:hAnsi="Arial" w:cs="Arial"/>
          <w:lang w:eastAsia="cs-CZ"/>
        </w:rPr>
        <w:t>02</w:t>
      </w:r>
      <w:r w:rsidR="00126E58" w:rsidRPr="00827993">
        <w:rPr>
          <w:rFonts w:ascii="Arial" w:eastAsia="Times New Roman" w:hAnsi="Arial" w:cs="Arial"/>
          <w:lang w:eastAsia="cs-CZ"/>
        </w:rPr>
        <w:t>.2024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5B177CFA" w:rsidR="005C50CB" w:rsidRPr="0065006F" w:rsidRDefault="00407A7F" w:rsidP="00DB3B94">
      <w:p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Zajištění odborných konzultací projektu Vltavská filharmonie v oblasti </w:t>
      </w:r>
      <w:r w:rsidR="00126E58" w:rsidRPr="00827993">
        <w:rPr>
          <w:rFonts w:ascii="Arial" w:hAnsi="Arial" w:cs="Arial"/>
        </w:rPr>
        <w:t>divadelních technologií a audio-vizuální techniky</w:t>
      </w:r>
      <w:r w:rsidRPr="0065006F">
        <w:rPr>
          <w:rFonts w:ascii="Arial" w:hAnsi="Arial" w:cs="Arial"/>
        </w:rPr>
        <w:t>, které zahrnují zejména:</w:t>
      </w:r>
    </w:p>
    <w:p w14:paraId="1C338E1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k jednotlivým projektovým fázím fází v oblastech budoucího vybavení divadelními technologiemi a audio-vizuální technikou.</w:t>
      </w:r>
    </w:p>
    <w:p w14:paraId="00DEF48E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 xml:space="preserve">Posouzení stavu přípravy jednotlivých prostor v budově Vltavské filharmonie určených pro konání akcí s ohledem na instalaci divadelních technologií a audio-vizuální techniky. </w:t>
      </w:r>
    </w:p>
    <w:p w14:paraId="0458AA2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v oblasti stavební a konstrukční přípravy pro možnost zavěšování zařízení audio-vizuální techniky-</w:t>
      </w:r>
      <w:proofErr w:type="spellStart"/>
      <w:r w:rsidRPr="00126E58">
        <w:rPr>
          <w:rFonts w:ascii="Arial" w:hAnsi="Arial" w:cs="Arial"/>
        </w:rPr>
        <w:t>rigging</w:t>
      </w:r>
      <w:proofErr w:type="spellEnd"/>
      <w:r w:rsidRPr="00126E58">
        <w:rPr>
          <w:rFonts w:ascii="Arial" w:hAnsi="Arial" w:cs="Arial"/>
        </w:rPr>
        <w:t>.</w:t>
      </w:r>
    </w:p>
    <w:p w14:paraId="58846758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lastRenderedPageBreak/>
        <w:t>Doporučení při výběru případných dodavatelů jednotlivých technologických nebo technických celků</w:t>
      </w:r>
    </w:p>
    <w:p w14:paraId="6A7D83C0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Posouzení provozní efektivity navrhovaných variant řešení</w:t>
      </w:r>
    </w:p>
    <w:p w14:paraId="6C34431A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pro nastavení organizační struktury budoucího provozovatele v  oblasti obsluhy a údržby divadelních technologií a audio-vizuální techniky.</w:t>
      </w:r>
    </w:p>
    <w:p w14:paraId="2BFF1AEE" w14:textId="77777777" w:rsidR="00126E58" w:rsidRPr="00126E58" w:rsidRDefault="00126E58" w:rsidP="00126E58">
      <w:pPr>
        <w:pStyle w:val="Odstavecseseznamem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</w:rPr>
      </w:pPr>
      <w:r w:rsidRPr="00126E58">
        <w:rPr>
          <w:rFonts w:ascii="Arial" w:hAnsi="Arial" w:cs="Arial"/>
        </w:rPr>
        <w:t>Doporučení pro personální obsazení organizační struktury budoucího provozovatele</w:t>
      </w:r>
    </w:p>
    <w:p w14:paraId="07DDCBE3" w14:textId="77777777" w:rsidR="005572EA" w:rsidRPr="00126E58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413BBB4E" w:rsidR="00F04826" w:rsidRPr="002F3001" w:rsidRDefault="00A562B0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120 </w:t>
      </w:r>
      <w:r w:rsidR="00407A7F" w:rsidRPr="002F3001">
        <w:rPr>
          <w:rFonts w:ascii="Arial" w:eastAsia="Times New Roman" w:hAnsi="Arial" w:cs="Arial"/>
          <w:lang w:eastAsia="cs-CZ"/>
        </w:rPr>
        <w:t>hodin v ceně 900 Kč / hod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5D926496" w:rsidR="00805361" w:rsidRPr="0065006F" w:rsidRDefault="00827993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01</w:t>
      </w:r>
      <w:r w:rsidR="00126E58">
        <w:rPr>
          <w:rFonts w:ascii="Arial" w:eastAsia="Times New Roman" w:hAnsi="Arial" w:cs="Arial"/>
          <w:lang w:eastAsia="cs-CZ"/>
        </w:rPr>
        <w:t>.</w:t>
      </w:r>
      <w:r w:rsidR="00055CD3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7</w:t>
      </w:r>
      <w:r w:rsidR="00055CD3">
        <w:rPr>
          <w:rFonts w:ascii="Arial" w:eastAsia="Times New Roman" w:hAnsi="Arial" w:cs="Arial"/>
          <w:lang w:eastAsia="cs-CZ"/>
        </w:rPr>
        <w:t>.2024 – 3</w:t>
      </w:r>
      <w:r>
        <w:rPr>
          <w:rFonts w:ascii="Arial" w:eastAsia="Times New Roman" w:hAnsi="Arial" w:cs="Arial"/>
          <w:lang w:eastAsia="cs-CZ"/>
        </w:rPr>
        <w:t>1</w:t>
      </w:r>
      <w:r w:rsidR="00055CD3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>12.</w:t>
      </w:r>
      <w:r w:rsidR="00055CD3">
        <w:rPr>
          <w:rFonts w:ascii="Arial" w:eastAsia="Times New Roman" w:hAnsi="Arial" w:cs="Arial"/>
          <w:lang w:eastAsia="cs-CZ"/>
        </w:rPr>
        <w:t>2024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2E68F57D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Faktura bude doručena na </w:t>
      </w:r>
      <w:r w:rsidR="00A562B0">
        <w:rPr>
          <w:rFonts w:ascii="Arial" w:eastAsia="Times New Roman" w:hAnsi="Arial" w:cs="Arial"/>
          <w:lang w:eastAsia="cs-CZ"/>
        </w:rPr>
        <w:t>kontaktní email</w:t>
      </w:r>
      <w:r w:rsidRPr="000D7184">
        <w:rPr>
          <w:rFonts w:ascii="Arial" w:eastAsia="Times New Roman" w:hAnsi="Arial" w:cs="Arial"/>
          <w:lang w:eastAsia="cs-CZ"/>
        </w:rPr>
        <w:t xml:space="preserve"> </w:t>
      </w:r>
      <w:r w:rsidR="00A562B0">
        <w:rPr>
          <w:rFonts w:ascii="Arial" w:eastAsia="Times New Roman" w:hAnsi="Arial" w:cs="Arial"/>
          <w:lang w:eastAsia="cs-CZ"/>
        </w:rPr>
        <w:t>O</w:t>
      </w:r>
      <w:r w:rsidRPr="000D7184">
        <w:rPr>
          <w:rFonts w:ascii="Arial" w:eastAsia="Times New Roman" w:hAnsi="Arial" w:cs="Arial"/>
          <w:lang w:eastAsia="cs-CZ"/>
        </w:rPr>
        <w:t>bjednatele. </w:t>
      </w:r>
    </w:p>
    <w:p w14:paraId="086026C7" w14:textId="2531FA8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682BB3">
        <w:rPr>
          <w:rFonts w:ascii="Arial" w:eastAsia="Times New Roman" w:hAnsi="Arial" w:cs="Arial"/>
          <w:lang w:eastAsia="cs-CZ"/>
        </w:rPr>
        <w:t>21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2077DB9A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br w:type="page"/>
      </w: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7A34EC3F" w14:textId="5DFDF951" w:rsidR="00B25616" w:rsidRPr="00B25616" w:rsidRDefault="00B25616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Při vytvoření autorského díla či jiných práv duševního vlastnictví v rámci realizace předmětu plnění specifikovaného v bodě 1 této objednávky se aplikuje čl. VI. Rámcové smlouvy („</w:t>
      </w:r>
      <w:r w:rsidRPr="00B25616">
        <w:rPr>
          <w:rFonts w:ascii="Arial" w:eastAsia="Times New Roman" w:hAnsi="Arial" w:cs="Arial"/>
          <w:b/>
          <w:bCs/>
          <w:lang w:eastAsia="cs-CZ"/>
        </w:rPr>
        <w:t>Duševní vlastnictví</w:t>
      </w:r>
      <w:r w:rsidRPr="00B25616">
        <w:rPr>
          <w:rFonts w:ascii="Arial" w:eastAsia="Times New Roman" w:hAnsi="Arial" w:cs="Arial"/>
          <w:lang w:eastAsia="cs-CZ"/>
        </w:rPr>
        <w:t>“)</w:t>
      </w:r>
      <w:r w:rsidRPr="00B256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6D84D1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4" w:name="_Hlk74120373"/>
      <w:bookmarkEnd w:id="1"/>
    </w:p>
    <w:p w14:paraId="5B5834CE" w14:textId="0221E6CC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 xml:space="preserve">Veškerá převoditelná práva duševního vlastnictví k dílům a pracovním výsledkům vytvořeným Dodavatelem, zaměstnancem Dodavatele či spolupracovníkem Dodavatele na základě </w:t>
      </w:r>
      <w:r w:rsidR="000664BD">
        <w:rPr>
          <w:rFonts w:ascii="Arial" w:eastAsia="Times New Roman" w:hAnsi="Arial" w:cs="Arial"/>
          <w:lang w:eastAsia="cs-CZ"/>
        </w:rPr>
        <w:t xml:space="preserve">a v rámci plnění </w:t>
      </w:r>
      <w:r w:rsidRPr="00B25616">
        <w:rPr>
          <w:rFonts w:ascii="Arial" w:eastAsia="Times New Roman" w:hAnsi="Arial" w:cs="Arial"/>
          <w:lang w:eastAsia="cs-CZ"/>
        </w:rPr>
        <w:t>této objednávky přechází na Objednatele</w:t>
      </w:r>
      <w:bookmarkEnd w:id="2"/>
      <w:bookmarkEnd w:id="4"/>
      <w:r w:rsidRPr="00B25616">
        <w:rPr>
          <w:rFonts w:ascii="Arial" w:eastAsia="Times New Roman" w:hAnsi="Arial" w:cs="Arial"/>
          <w:lang w:eastAsia="cs-CZ"/>
        </w:rPr>
        <w:t>. Odměna za převod těchto práv duševního vlastnictví je zahrnuta v ceně za předmět plnění specifikované v bodě 2 této objednávky.</w:t>
      </w:r>
    </w:p>
    <w:p w14:paraId="2495F62F" w14:textId="77777777" w:rsidR="00B25616" w:rsidRDefault="00B25616" w:rsidP="00B25616">
      <w:pPr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5" w:name="_Hlk74120417"/>
    </w:p>
    <w:p w14:paraId="6A250D18" w14:textId="7FD4635A" w:rsidR="00B25616" w:rsidRPr="00B25616" w:rsidRDefault="00B25616" w:rsidP="00C63649">
      <w:pPr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>Dodavatel v souladu s čl. VI. Rámcové smlouvy zejména poskytuje Objednateli výhradní oprávnění (licenci) k výkonu práva užít autorské dílo</w:t>
      </w:r>
      <w:r w:rsidR="00266D5C" w:rsidRPr="00266D5C">
        <w:rPr>
          <w:rFonts w:ascii="Arial" w:hAnsi="Arial" w:cs="Arial"/>
        </w:rPr>
        <w:t xml:space="preserve"> specifikované v bodě I. této objednávky</w:t>
      </w:r>
      <w:r w:rsidRPr="00B25616">
        <w:rPr>
          <w:rFonts w:ascii="Arial" w:hAnsi="Arial" w:cs="Arial"/>
        </w:rPr>
        <w:t xml:space="preserve"> vytvořené Dodavatelem pro Objednatele v rámci plnění této zakázky („</w:t>
      </w:r>
      <w:r w:rsidRPr="00B25616">
        <w:rPr>
          <w:rFonts w:ascii="Arial" w:hAnsi="Arial" w:cs="Arial"/>
          <w:b/>
          <w:bCs/>
        </w:rPr>
        <w:t>Dílo</w:t>
      </w:r>
      <w:r w:rsidRPr="00B25616">
        <w:rPr>
          <w:rFonts w:ascii="Arial" w:hAnsi="Arial" w:cs="Arial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B25616">
        <w:rPr>
          <w:rFonts w:ascii="Arial" w:hAnsi="Arial" w:cs="Arial"/>
          <w:b/>
          <w:bCs/>
        </w:rPr>
        <w:t>Výhradní licence</w:t>
      </w:r>
      <w:r w:rsidRPr="00B25616">
        <w:rPr>
          <w:rFonts w:ascii="Arial" w:hAnsi="Arial" w:cs="Arial"/>
        </w:rPr>
        <w:t xml:space="preserve">“). Odměna za Výhradní licenci je zahrnuta v ceně </w:t>
      </w:r>
      <w:r w:rsidR="00A476D1">
        <w:rPr>
          <w:rFonts w:ascii="Arial" w:hAnsi="Arial" w:cs="Arial"/>
        </w:rPr>
        <w:t>předmětu plnění</w:t>
      </w:r>
      <w:r w:rsidRPr="00B25616">
        <w:rPr>
          <w:rFonts w:ascii="Arial" w:hAnsi="Arial" w:cs="Arial"/>
        </w:rPr>
        <w:t xml:space="preserve"> specifikované v bodě 2 této objednávky.</w:t>
      </w:r>
    </w:p>
    <w:p w14:paraId="399BE445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A7445B6" w14:textId="57141CA6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Výhradní licenci není povinen Objednatel využít. Dodavatel se zavazuje zdržet se užívání Díla v rozsahu této Licence udělené Objednateli.</w:t>
      </w:r>
    </w:p>
    <w:p w14:paraId="6AB803ED" w14:textId="77777777" w:rsidR="009653AE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6" w:name="_Hlk74120613"/>
      <w:bookmarkEnd w:id="5"/>
      <w:r>
        <w:rPr>
          <w:rFonts w:ascii="Arial" w:eastAsia="Times New Roman" w:hAnsi="Arial" w:cs="Arial"/>
          <w:lang w:eastAsia="cs-CZ"/>
        </w:rPr>
        <w:t xml:space="preserve"> </w:t>
      </w:r>
    </w:p>
    <w:p w14:paraId="3158033A" w14:textId="4307F40D" w:rsidR="00B25616" w:rsidRPr="00B25616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653AE">
        <w:rPr>
          <w:rFonts w:ascii="Arial" w:eastAsia="Times New Roman" w:hAnsi="Arial" w:cs="Arial"/>
          <w:lang w:eastAsia="cs-CZ"/>
        </w:rPr>
        <w:t>Objednatel</w:t>
      </w:r>
      <w:r w:rsidR="00B25616" w:rsidRPr="00B2561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oprávněn </w:t>
      </w:r>
      <w:r w:rsidR="00B25616" w:rsidRPr="00B25616">
        <w:rPr>
          <w:rFonts w:ascii="Arial" w:eastAsia="Times New Roman" w:hAnsi="Arial" w:cs="Arial"/>
          <w:lang w:eastAsia="cs-CZ"/>
        </w:rPr>
        <w:t>užívat</w:t>
      </w:r>
      <w:r w:rsidR="00F85123"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Dílo podle vlastního uvážení, a to buď v původní Dodavatelem dodané nebo i v pozměněné podobě či jiným zpracované podobě, reprodukovat Dílo v podobě tištěné, fotografické, obrazové, digitální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a v dalších formách dle uvážení Objednatele</w:t>
      </w:r>
      <w:r w:rsidR="00090D25">
        <w:rPr>
          <w:rFonts w:ascii="Arial" w:eastAsia="Times New Roman" w:hAnsi="Arial" w:cs="Arial"/>
          <w:lang w:eastAsia="cs-CZ"/>
        </w:rPr>
        <w:t xml:space="preserve">. </w:t>
      </w:r>
      <w:r w:rsidR="00360F3F">
        <w:rPr>
          <w:rFonts w:ascii="Arial" w:eastAsia="Times New Roman" w:hAnsi="Arial" w:cs="Arial"/>
          <w:lang w:eastAsia="cs-CZ"/>
        </w:rPr>
        <w:t>Objednateli dále náleží právo</w:t>
      </w:r>
      <w:r w:rsidR="00B25616" w:rsidRPr="00B25616">
        <w:rPr>
          <w:rFonts w:ascii="Arial" w:eastAsia="Times New Roman" w:hAnsi="Arial" w:cs="Arial"/>
          <w:lang w:eastAsia="cs-CZ"/>
        </w:rPr>
        <w:t xml:space="preserve"> distribuovat Dílo, zveřejňovat a vystavovat Dílo, upravovat, pozměňovat a </w:t>
      </w:r>
      <w:r w:rsidR="00B25616" w:rsidRPr="00B25616">
        <w:rPr>
          <w:rFonts w:ascii="Arial" w:eastAsia="Times New Roman" w:hAnsi="Arial" w:cs="Arial"/>
          <w:lang w:eastAsia="cs-CZ"/>
        </w:rPr>
        <w:lastRenderedPageBreak/>
        <w:t>doplňovat Dílo, jakož i právo postoupit práva podle dohody uzavřené v souladu s tímto ustanovením třetí straně, včetně práva Dílo změnit a rozpracované Dílo dokončit</w:t>
      </w:r>
      <w:r w:rsidR="00F85123">
        <w:rPr>
          <w:rFonts w:ascii="Arial" w:eastAsia="Times New Roman" w:hAnsi="Arial" w:cs="Arial"/>
          <w:lang w:eastAsia="cs-CZ"/>
        </w:rPr>
        <w:t>.</w:t>
      </w:r>
    </w:p>
    <w:bookmarkEnd w:id="6"/>
    <w:p w14:paraId="1D5CBCCA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23718CD" w14:textId="16B79F08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Dodavatel výslovně prohlašuje, že:</w:t>
      </w:r>
    </w:p>
    <w:p w14:paraId="26BF436C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má plné oprávnění k udělení Výhradní licence k </w:t>
      </w:r>
      <w:bookmarkStart w:id="7" w:name="_Hlk74122742"/>
      <w:r w:rsidRPr="00B25616">
        <w:rPr>
          <w:rFonts w:ascii="Arial" w:eastAsia="Times New Roman" w:hAnsi="Arial" w:cs="Arial"/>
          <w:lang w:eastAsia="cs-CZ"/>
        </w:rPr>
        <w:t>Dílu (zejména je nositelem, respektive vykonavatelem majetkových autorských práv k Dílu a získal všechny nezbytné souhlasy a svolení zaměstnanců a spolupracovníků Dodavatele k udělení Výhradní licence k Dílu);</w:t>
      </w:r>
    </w:p>
    <w:bookmarkEnd w:id="7"/>
    <w:p w14:paraId="128A3CA3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nepřevádí (nepřevede) žádné z práv k Dílu na třetí strany;</w:t>
      </w:r>
    </w:p>
    <w:p w14:paraId="5C44E7BE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žádná třetí strana nepoužila ani nepoužívá Dílo ani k nim nemá žádná práva;</w:t>
      </w:r>
    </w:p>
    <w:p w14:paraId="5A7B5C82" w14:textId="6CFF6CA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neposkytl nebo neposkytuje žádné třetí straně žádná práva k užívání Díla; práva k Dílu nejsou zatížena žádnými nároky třetích stran.</w:t>
      </w:r>
    </w:p>
    <w:p w14:paraId="669B2B12" w14:textId="77777777" w:rsidR="00B25616" w:rsidRDefault="00B25616" w:rsidP="00B25616">
      <w:pPr>
        <w:spacing w:after="0" w:line="240" w:lineRule="auto"/>
        <w:contextualSpacing/>
        <w:textAlignment w:val="baseline"/>
        <w:rPr>
          <w:rFonts w:ascii="Arial" w:hAnsi="Arial" w:cs="Arial"/>
        </w:rPr>
      </w:pPr>
    </w:p>
    <w:p w14:paraId="67E46186" w14:textId="61A64158" w:rsid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 xml:space="preserve">Dodavatel dále prohlašuje, že autor Díla výslovně udělil </w:t>
      </w:r>
      <w:r w:rsidR="00A77D2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 xml:space="preserve">odavateli bezpodmínečný souhlas ke zveřejnění díla, jeho úpravám, změnám, jeho zpracování včetně překladu, jeho spojení s jiným dílem a zařazení Díla do díla souborného a dále prohlašuje, že autor udělil </w:t>
      </w:r>
      <w:r w:rsidR="007F13A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>odavateli bezpodmínečný souhlas k výkonu jménem Dodavatele a na jeho účet autorových majetkových práv k Dílu a dále prohlašuje, že autor udělil bezpodmínečný souhlas Dodavateli k postoupení shora uvedených práv třetí osobě</w:t>
      </w:r>
      <w:bookmarkEnd w:id="3"/>
      <w:r w:rsidR="00C63649">
        <w:rPr>
          <w:rFonts w:ascii="Arial" w:hAnsi="Arial" w:cs="Arial"/>
        </w:rPr>
        <w:t>.</w:t>
      </w:r>
    </w:p>
    <w:p w14:paraId="0396D247" w14:textId="77777777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64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3B0903E4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3FEAF87A" w:rsidR="00805361" w:rsidRPr="00805361" w:rsidRDefault="00126E58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Josef Ženíšek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1D8B51C8" w:rsidR="00805361" w:rsidRPr="00805361" w:rsidRDefault="00A562B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03.07.2024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569D1928" w:rsidR="00C8131A" w:rsidRPr="00805361" w:rsidRDefault="005B4CE3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53242E8E" w:rsidR="00805361" w:rsidRPr="00805361" w:rsidRDefault="00A562B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03.07.2024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2E1AD734" w:rsidR="00805361" w:rsidRPr="00805361" w:rsidRDefault="00A562B0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03.07.2024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5C32E" w14:textId="77777777" w:rsidR="003255D0" w:rsidRDefault="003255D0" w:rsidP="00DE1676">
      <w:pPr>
        <w:spacing w:after="0" w:line="240" w:lineRule="auto"/>
      </w:pPr>
      <w:r>
        <w:separator/>
      </w:r>
    </w:p>
  </w:endnote>
  <w:endnote w:type="continuationSeparator" w:id="0">
    <w:p w14:paraId="7FE17D89" w14:textId="77777777" w:rsidR="003255D0" w:rsidRDefault="003255D0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*Palm Spring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D351" w14:textId="77777777" w:rsidR="003255D0" w:rsidRDefault="003255D0" w:rsidP="00DE1676">
      <w:pPr>
        <w:spacing w:after="0" w:line="240" w:lineRule="auto"/>
      </w:pPr>
      <w:r>
        <w:separator/>
      </w:r>
    </w:p>
  </w:footnote>
  <w:footnote w:type="continuationSeparator" w:id="0">
    <w:p w14:paraId="35CD4ABD" w14:textId="77777777" w:rsidR="003255D0" w:rsidRDefault="003255D0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7192A1AF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</w:t>
    </w:r>
    <w:r w:rsidR="001C4C07" w:rsidRPr="00A4415D">
      <w:rPr>
        <w:rFonts w:ascii="Arial" w:hAnsi="Arial" w:cs="Arial"/>
        <w:szCs w:val="36"/>
      </w:rPr>
      <w:t>.</w:t>
    </w:r>
    <w:r w:rsidR="003C0D0E" w:rsidRPr="00A4415D">
      <w:t xml:space="preserve"> </w:t>
    </w:r>
    <w:r w:rsidR="003C0D0E" w:rsidRPr="00A4415D">
      <w:rPr>
        <w:rFonts w:ascii="Arial" w:hAnsi="Arial" w:cs="Arial"/>
        <w:szCs w:val="36"/>
      </w:rPr>
      <w:t>46393.</w:t>
    </w:r>
    <w:r w:rsidR="00055CD3" w:rsidRPr="00A4415D">
      <w:rPr>
        <w:rFonts w:ascii="Arial" w:hAnsi="Arial" w:cs="Arial"/>
        <w:szCs w:val="36"/>
      </w:rPr>
      <w:t>1</w:t>
    </w:r>
    <w:r w:rsidR="00A4415D" w:rsidRPr="00A4415D">
      <w:rPr>
        <w:rFonts w:ascii="Arial" w:hAnsi="Arial" w:cs="Arial"/>
        <w:szCs w:val="36"/>
      </w:rPr>
      <w:t>b</w:t>
    </w:r>
    <w:r w:rsidR="00055CD3" w:rsidRPr="00A4415D">
      <w:rPr>
        <w:rFonts w:ascii="Arial" w:hAnsi="Arial" w:cs="Arial"/>
        <w:szCs w:val="36"/>
      </w:rPr>
      <w:t>.00</w:t>
    </w:r>
    <w:r w:rsidR="00126E58" w:rsidRPr="00A4415D">
      <w:rPr>
        <w:rFonts w:ascii="Arial" w:hAnsi="Arial" w:cs="Arial"/>
        <w:szCs w:val="36"/>
      </w:rPr>
      <w:t>5</w:t>
    </w:r>
    <w:r w:rsidR="00055CD3" w:rsidRPr="00A4415D">
      <w:rPr>
        <w:rFonts w:ascii="Arial" w:hAnsi="Arial" w:cs="Arial"/>
        <w:szCs w:val="36"/>
      </w:rPr>
      <w:t>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A562B0" w:rsidRPr="00A562B0">
      <w:rPr>
        <w:rFonts w:ascii="Arial" w:hAnsi="Arial" w:cs="Arial"/>
        <w:szCs w:val="36"/>
      </w:rPr>
      <w:t>03.07</w:t>
    </w:r>
    <w:r w:rsidR="00055CD3" w:rsidRPr="00A562B0">
      <w:rPr>
        <w:rFonts w:ascii="Arial" w:hAnsi="Arial" w:cs="Arial"/>
        <w:szCs w:val="36"/>
      </w:rPr>
      <w:t>.2024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1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6"/>
  </w:num>
  <w:num w:numId="2" w16cid:durableId="1951088554">
    <w:abstractNumId w:val="5"/>
  </w:num>
  <w:num w:numId="3" w16cid:durableId="1954286058">
    <w:abstractNumId w:val="2"/>
  </w:num>
  <w:num w:numId="4" w16cid:durableId="342585654">
    <w:abstractNumId w:val="11"/>
  </w:num>
  <w:num w:numId="5" w16cid:durableId="788754">
    <w:abstractNumId w:val="1"/>
  </w:num>
  <w:num w:numId="6" w16cid:durableId="2062168627">
    <w:abstractNumId w:val="8"/>
  </w:num>
  <w:num w:numId="7" w16cid:durableId="1320042382">
    <w:abstractNumId w:val="3"/>
  </w:num>
  <w:num w:numId="8" w16cid:durableId="359093223">
    <w:abstractNumId w:val="7"/>
  </w:num>
  <w:num w:numId="9" w16cid:durableId="1540776273">
    <w:abstractNumId w:val="4"/>
  </w:num>
  <w:num w:numId="10" w16cid:durableId="1610433327">
    <w:abstractNumId w:val="0"/>
  </w:num>
  <w:num w:numId="11" w16cid:durableId="1600136353">
    <w:abstractNumId w:val="9"/>
  </w:num>
  <w:num w:numId="12" w16cid:durableId="42809056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3"/>
  </w:num>
  <w:num w:numId="14" w16cid:durableId="1387799073">
    <w:abstractNumId w:val="12"/>
  </w:num>
  <w:num w:numId="15" w16cid:durableId="983894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7C36"/>
    <w:rsid w:val="000115A5"/>
    <w:rsid w:val="00022CCB"/>
    <w:rsid w:val="000502AE"/>
    <w:rsid w:val="00055CD3"/>
    <w:rsid w:val="000664BD"/>
    <w:rsid w:val="00077D22"/>
    <w:rsid w:val="00090D25"/>
    <w:rsid w:val="000C4E7F"/>
    <w:rsid w:val="000C5585"/>
    <w:rsid w:val="000D7184"/>
    <w:rsid w:val="000D75BB"/>
    <w:rsid w:val="000D7B6A"/>
    <w:rsid w:val="000E7EEA"/>
    <w:rsid w:val="001240B8"/>
    <w:rsid w:val="00126E58"/>
    <w:rsid w:val="001309C5"/>
    <w:rsid w:val="001429E4"/>
    <w:rsid w:val="00164489"/>
    <w:rsid w:val="00173119"/>
    <w:rsid w:val="0018377A"/>
    <w:rsid w:val="00185E13"/>
    <w:rsid w:val="001C4C07"/>
    <w:rsid w:val="001E2EE7"/>
    <w:rsid w:val="002065AF"/>
    <w:rsid w:val="00210CD1"/>
    <w:rsid w:val="00214B08"/>
    <w:rsid w:val="002227B5"/>
    <w:rsid w:val="0024097F"/>
    <w:rsid w:val="0025602C"/>
    <w:rsid w:val="002617B6"/>
    <w:rsid w:val="00266D5C"/>
    <w:rsid w:val="00277FB5"/>
    <w:rsid w:val="002A6E4C"/>
    <w:rsid w:val="002C27F4"/>
    <w:rsid w:val="002C56E2"/>
    <w:rsid w:val="002F3001"/>
    <w:rsid w:val="0031111D"/>
    <w:rsid w:val="0031154F"/>
    <w:rsid w:val="003255D0"/>
    <w:rsid w:val="0034309B"/>
    <w:rsid w:val="003532F3"/>
    <w:rsid w:val="00360F3F"/>
    <w:rsid w:val="00372AE6"/>
    <w:rsid w:val="003825B3"/>
    <w:rsid w:val="003C0D0E"/>
    <w:rsid w:val="003D0A58"/>
    <w:rsid w:val="003D177E"/>
    <w:rsid w:val="003D2DA0"/>
    <w:rsid w:val="003F14C2"/>
    <w:rsid w:val="00407A7F"/>
    <w:rsid w:val="00420713"/>
    <w:rsid w:val="004522E1"/>
    <w:rsid w:val="004662FF"/>
    <w:rsid w:val="0046724F"/>
    <w:rsid w:val="00484A93"/>
    <w:rsid w:val="00496176"/>
    <w:rsid w:val="004A758F"/>
    <w:rsid w:val="004B7A80"/>
    <w:rsid w:val="004D3052"/>
    <w:rsid w:val="004D7A9B"/>
    <w:rsid w:val="004E2A90"/>
    <w:rsid w:val="005111F0"/>
    <w:rsid w:val="00547210"/>
    <w:rsid w:val="005572EA"/>
    <w:rsid w:val="005615A5"/>
    <w:rsid w:val="00576187"/>
    <w:rsid w:val="0059529D"/>
    <w:rsid w:val="005B02EA"/>
    <w:rsid w:val="005B4CE3"/>
    <w:rsid w:val="005B5D40"/>
    <w:rsid w:val="005C50CB"/>
    <w:rsid w:val="005C76B9"/>
    <w:rsid w:val="005D4D8D"/>
    <w:rsid w:val="005E7C90"/>
    <w:rsid w:val="00632F9E"/>
    <w:rsid w:val="0065006F"/>
    <w:rsid w:val="00662B1C"/>
    <w:rsid w:val="00682BB3"/>
    <w:rsid w:val="006943C5"/>
    <w:rsid w:val="006A7A40"/>
    <w:rsid w:val="006F7C05"/>
    <w:rsid w:val="00706B0D"/>
    <w:rsid w:val="00716DEE"/>
    <w:rsid w:val="00735731"/>
    <w:rsid w:val="00736D4B"/>
    <w:rsid w:val="0076142A"/>
    <w:rsid w:val="007A7E1F"/>
    <w:rsid w:val="007B4350"/>
    <w:rsid w:val="007C10E8"/>
    <w:rsid w:val="007E3F30"/>
    <w:rsid w:val="007F13AC"/>
    <w:rsid w:val="00804BB8"/>
    <w:rsid w:val="00805361"/>
    <w:rsid w:val="00813AF9"/>
    <w:rsid w:val="00814F4A"/>
    <w:rsid w:val="00827993"/>
    <w:rsid w:val="00861F28"/>
    <w:rsid w:val="00872844"/>
    <w:rsid w:val="00896A38"/>
    <w:rsid w:val="008B7581"/>
    <w:rsid w:val="008C207B"/>
    <w:rsid w:val="00907A6D"/>
    <w:rsid w:val="009653AE"/>
    <w:rsid w:val="00A057A8"/>
    <w:rsid w:val="00A244E1"/>
    <w:rsid w:val="00A4415D"/>
    <w:rsid w:val="00A476D1"/>
    <w:rsid w:val="00A562B0"/>
    <w:rsid w:val="00A67643"/>
    <w:rsid w:val="00A77D2C"/>
    <w:rsid w:val="00A82925"/>
    <w:rsid w:val="00A85957"/>
    <w:rsid w:val="00A94E45"/>
    <w:rsid w:val="00A97508"/>
    <w:rsid w:val="00AA5494"/>
    <w:rsid w:val="00AB10BC"/>
    <w:rsid w:val="00AB2E06"/>
    <w:rsid w:val="00B1052E"/>
    <w:rsid w:val="00B12016"/>
    <w:rsid w:val="00B17A4F"/>
    <w:rsid w:val="00B25616"/>
    <w:rsid w:val="00B54A81"/>
    <w:rsid w:val="00B62C40"/>
    <w:rsid w:val="00B634FB"/>
    <w:rsid w:val="00B66E12"/>
    <w:rsid w:val="00B670E0"/>
    <w:rsid w:val="00B71085"/>
    <w:rsid w:val="00B9187B"/>
    <w:rsid w:val="00BA690F"/>
    <w:rsid w:val="00BD55F3"/>
    <w:rsid w:val="00BE61F0"/>
    <w:rsid w:val="00C1476D"/>
    <w:rsid w:val="00C3671B"/>
    <w:rsid w:val="00C5750F"/>
    <w:rsid w:val="00C63649"/>
    <w:rsid w:val="00C71428"/>
    <w:rsid w:val="00C7620A"/>
    <w:rsid w:val="00C8131A"/>
    <w:rsid w:val="00D14114"/>
    <w:rsid w:val="00D2690B"/>
    <w:rsid w:val="00D558DF"/>
    <w:rsid w:val="00D930C3"/>
    <w:rsid w:val="00DB3B94"/>
    <w:rsid w:val="00DB63A8"/>
    <w:rsid w:val="00DC2705"/>
    <w:rsid w:val="00DE0B10"/>
    <w:rsid w:val="00DE1676"/>
    <w:rsid w:val="00DF32D7"/>
    <w:rsid w:val="00E05672"/>
    <w:rsid w:val="00E86A0F"/>
    <w:rsid w:val="00EB2A37"/>
    <w:rsid w:val="00EC22F1"/>
    <w:rsid w:val="00F01466"/>
    <w:rsid w:val="00F04826"/>
    <w:rsid w:val="00F22481"/>
    <w:rsid w:val="00F352B3"/>
    <w:rsid w:val="00F57604"/>
    <w:rsid w:val="00F85123"/>
    <w:rsid w:val="00F92526"/>
    <w:rsid w:val="00F955AE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Ella Hradecká</cp:lastModifiedBy>
  <cp:revision>3</cp:revision>
  <cp:lastPrinted>2022-08-11T10:16:00Z</cp:lastPrinted>
  <dcterms:created xsi:type="dcterms:W3CDTF">2024-07-10T11:37:00Z</dcterms:created>
  <dcterms:modified xsi:type="dcterms:W3CDTF">2024-07-10T11:41:00Z</dcterms:modified>
</cp:coreProperties>
</file>