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624A" w14:textId="77777777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25648DD8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DA778B">
        <w:rPr>
          <w:rFonts w:ascii="Arial" w:eastAsia="Times New Roman" w:hAnsi="Arial" w:cs="Arial"/>
          <w:lang w:eastAsia="cs-CZ"/>
        </w:rPr>
        <w:t> </w:t>
      </w:r>
    </w:p>
    <w:p w14:paraId="1DA252E4" w14:textId="23482513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 se sídlem: </w:t>
      </w:r>
      <w:r w:rsidR="00A749B1">
        <w:rPr>
          <w:rFonts w:ascii="Arial" w:eastAsia="Times New Roman" w:hAnsi="Arial" w:cs="Arial"/>
          <w:lang w:eastAsia="cs-CZ"/>
        </w:rPr>
        <w:t>U Radnice 10/2</w:t>
      </w:r>
      <w:r w:rsidRPr="00DA778B">
        <w:rPr>
          <w:rFonts w:ascii="Arial" w:eastAsia="Times New Roman" w:hAnsi="Arial" w:cs="Arial"/>
          <w:lang w:eastAsia="cs-CZ"/>
        </w:rPr>
        <w:t>, 11000 Praha 1 </w:t>
      </w:r>
    </w:p>
    <w:p w14:paraId="7752A9E0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394BE74B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 09211322 </w:t>
      </w:r>
    </w:p>
    <w:p w14:paraId="2FF4F7E5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 2031590006/6000</w:t>
      </w:r>
      <w:r w:rsidRPr="00DA778B">
        <w:rPr>
          <w:rFonts w:ascii="Arial" w:eastAsia="Times New Roman" w:hAnsi="Arial" w:cs="Arial"/>
          <w:lang w:eastAsia="cs-CZ"/>
        </w:rPr>
        <w:t>  </w:t>
      </w:r>
    </w:p>
    <w:p w14:paraId="46BF2D04" w14:textId="5DD8B070" w:rsidR="00632810" w:rsidRPr="00DA778B" w:rsidRDefault="00632810" w:rsidP="00AE28BB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37F727A" w14:textId="18610A66" w:rsidR="00632810" w:rsidRPr="00AE28BB" w:rsidRDefault="00632810" w:rsidP="00AE28BB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3B578019" w14:textId="66FBA061" w:rsidR="00632810" w:rsidRPr="00DA778B" w:rsidRDefault="00632810" w:rsidP="0063281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</w:t>
      </w:r>
      <w:r w:rsidR="00AE28BB">
        <w:rPr>
          <w:rFonts w:ascii="Arial" w:eastAsia="Arial" w:hAnsi="Arial" w:cs="Arial"/>
          <w:b/>
          <w:bCs/>
        </w:rPr>
        <w:t xml:space="preserve">        </w:t>
      </w:r>
      <w:r>
        <w:rPr>
          <w:rFonts w:ascii="Arial" w:eastAsia="Arial" w:hAnsi="Arial" w:cs="Arial"/>
          <w:b/>
          <w:bCs/>
        </w:rPr>
        <w:t>Gordic spol. s r.o.</w:t>
      </w:r>
    </w:p>
    <w:p w14:paraId="26DA0764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 xml:space="preserve"> Erbenova 4, 586 01 Jihlava</w:t>
      </w:r>
      <w:r w:rsidRPr="00DA778B">
        <w:rPr>
          <w:rFonts w:ascii="Arial" w:eastAsia="Arial" w:hAnsi="Arial" w:cs="Arial"/>
        </w:rPr>
        <w:t xml:space="preserve"> </w:t>
      </w:r>
    </w:p>
    <w:p w14:paraId="155A45AC" w14:textId="77D9A2AF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Zastoupená:</w:t>
      </w:r>
      <w:r w:rsidR="008479B9">
        <w:rPr>
          <w:rFonts w:ascii="Arial" w:eastAsia="Arial" w:hAnsi="Arial" w:cs="Arial"/>
        </w:rPr>
        <w:t xml:space="preserve"> Ing. Jaromír Řezáč</w:t>
      </w:r>
      <w:r w:rsidRPr="00DA778B">
        <w:rPr>
          <w:rFonts w:ascii="Arial" w:eastAsia="Arial" w:hAnsi="Arial" w:cs="Arial"/>
        </w:rPr>
        <w:t xml:space="preserve"> </w:t>
      </w:r>
    </w:p>
    <w:p w14:paraId="432F8FC1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 </w:t>
      </w:r>
      <w:r>
        <w:rPr>
          <w:rFonts w:ascii="Arial" w:eastAsia="Times New Roman" w:hAnsi="Arial" w:cs="Arial"/>
          <w:lang w:eastAsia="cs-CZ"/>
        </w:rPr>
        <w:t>47903783</w:t>
      </w:r>
    </w:p>
    <w:p w14:paraId="12AAC8C4" w14:textId="77777777" w:rsidR="00632810" w:rsidRPr="00DA778B" w:rsidRDefault="00632810" w:rsidP="00632810">
      <w:pPr>
        <w:ind w:firstLine="420"/>
        <w:jc w:val="right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 </w:t>
      </w:r>
      <w:r>
        <w:rPr>
          <w:rFonts w:ascii="Arial" w:eastAsia="Times New Roman" w:hAnsi="Arial" w:cs="Arial"/>
          <w:color w:val="000000" w:themeColor="text1"/>
          <w:lang w:eastAsia="cs-CZ"/>
        </w:rPr>
        <w:t>19-4645600247/0100</w:t>
      </w:r>
    </w:p>
    <w:p w14:paraId="3CE4BF0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4299DFB9" w14:textId="77777777" w:rsidR="000C2CE4" w:rsidRDefault="00632810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(dále též „Smluvní strany“)</w:t>
      </w:r>
    </w:p>
    <w:p w14:paraId="3F739EBE" w14:textId="0F94A892" w:rsidR="00A749B1" w:rsidRDefault="000C2CE4" w:rsidP="000C2CE4">
      <w:pPr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Identifikátor: GPRAX00460QN</w:t>
      </w:r>
      <w:r w:rsidR="00632810" w:rsidRPr="00DA778B">
        <w:rPr>
          <w:rFonts w:ascii="Arial" w:eastAsia="Times New Roman" w:hAnsi="Arial" w:cs="Arial"/>
          <w:lang w:eastAsia="cs-CZ"/>
        </w:rPr>
        <w:t> </w:t>
      </w:r>
    </w:p>
    <w:p w14:paraId="55C88B91" w14:textId="77777777" w:rsidR="00836E62" w:rsidRPr="00A749B1" w:rsidRDefault="00836E62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4545DD5B" w14:textId="1CABF149" w:rsidR="00632810" w:rsidRPr="00084EAB" w:rsidRDefault="00632810" w:rsidP="00632810">
      <w:pPr>
        <w:pStyle w:val="Nadpis1"/>
      </w:pPr>
      <w:r w:rsidRPr="00084EAB">
        <w:t xml:space="preserve">Objednávka </w:t>
      </w:r>
      <w:r w:rsidR="000C2CE4">
        <w:t>na rozšíření modulu UCR GINIS Express SQL</w:t>
      </w:r>
    </w:p>
    <w:p w14:paraId="2449D543" w14:textId="77777777" w:rsidR="00632810" w:rsidRPr="00A749B1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3DD8880C" w14:textId="4DAC9893" w:rsidR="00632810" w:rsidRPr="00836E62" w:rsidRDefault="00632810" w:rsidP="00632810">
      <w:pPr>
        <w:jc w:val="both"/>
        <w:textAlignment w:val="baseline"/>
        <w:rPr>
          <w:rFonts w:ascii="Arial" w:hAnsi="Arial" w:cs="Arial"/>
          <w:shd w:val="clear" w:color="auto" w:fill="FFFFFF"/>
        </w:rPr>
      </w:pPr>
      <w:r w:rsidRPr="00836E62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Pr="000C2CE4">
        <w:rPr>
          <w:rFonts w:ascii="Arial" w:eastAsia="Times New Roman" w:hAnsi="Arial" w:cs="Arial"/>
          <w:lang w:eastAsia="cs-CZ"/>
        </w:rPr>
        <w:t xml:space="preserve">objednáváme </w:t>
      </w:r>
      <w:r w:rsidR="000C2CE4" w:rsidRPr="000C2CE4">
        <w:rPr>
          <w:rFonts w:ascii="Arial" w:hAnsi="Arial" w:cs="Arial"/>
          <w:b/>
          <w:bCs/>
        </w:rPr>
        <w:t>rozšíření modulu UCR GINIS Express SQL</w:t>
      </w:r>
      <w:r w:rsidR="000C2CE4">
        <w:rPr>
          <w:rFonts w:ascii="Arial" w:hAnsi="Arial" w:cs="Arial"/>
          <w:b/>
          <w:bCs/>
        </w:rPr>
        <w:t>.</w:t>
      </w:r>
    </w:p>
    <w:p w14:paraId="7DBAE01D" w14:textId="337DE10D" w:rsidR="00632810" w:rsidRPr="00836E62" w:rsidRDefault="00632810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5B78C1DA" w14:textId="77777777" w:rsidR="00A749B1" w:rsidRPr="00836E62" w:rsidRDefault="00A749B1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534A6C2" w14:textId="51229039" w:rsidR="00632810" w:rsidRPr="00462B8A" w:rsidRDefault="00632810" w:rsidP="0063281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Theme="minorEastAsia" w:hAnsi="Arial" w:cs="Arial"/>
          <w:b/>
          <w:bCs/>
          <w:lang w:eastAsia="cs-CZ"/>
        </w:rPr>
      </w:pPr>
      <w:r w:rsidRPr="00462B8A">
        <w:rPr>
          <w:rFonts w:ascii="Arial" w:eastAsia="Times New Roman" w:hAnsi="Arial" w:cs="Arial"/>
          <w:b/>
          <w:bCs/>
          <w:u w:val="single"/>
          <w:lang w:eastAsia="cs-CZ"/>
        </w:rPr>
        <w:lastRenderedPageBreak/>
        <w:t>Předmět plnění</w:t>
      </w:r>
      <w:r w:rsidRPr="00462B8A">
        <w:rPr>
          <w:rFonts w:ascii="Arial" w:eastAsia="Times New Roman" w:hAnsi="Arial" w:cs="Arial"/>
          <w:b/>
          <w:bCs/>
          <w:lang w:eastAsia="cs-CZ"/>
        </w:rPr>
        <w:t>:</w:t>
      </w:r>
    </w:p>
    <w:p w14:paraId="3603AA6F" w14:textId="77777777" w:rsidR="000C2CE4" w:rsidRPr="000C2CE4" w:rsidRDefault="000C2CE4" w:rsidP="000C2CE4">
      <w:pPr>
        <w:spacing w:after="0" w:line="240" w:lineRule="auto"/>
        <w:textAlignment w:val="baseline"/>
        <w:rPr>
          <w:rFonts w:ascii="Arial" w:eastAsiaTheme="minorEastAsia" w:hAnsi="Arial" w:cs="Arial"/>
          <w:lang w:eastAsia="cs-CZ"/>
        </w:rPr>
      </w:pPr>
    </w:p>
    <w:p w14:paraId="1C11C6AD" w14:textId="3C163DA7" w:rsidR="000C2CE4" w:rsidRDefault="000C2CE4" w:rsidP="000C2CE4">
      <w:pPr>
        <w:spacing w:after="0" w:line="240" w:lineRule="auto"/>
        <w:textAlignment w:val="baseline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>Seznam rozšíření modulu UCR GINIS Express SQL:</w:t>
      </w:r>
    </w:p>
    <w:p w14:paraId="3C48005E" w14:textId="77777777" w:rsidR="000C2CE4" w:rsidRPr="00836E62" w:rsidRDefault="000C2CE4" w:rsidP="000C2CE4">
      <w:pPr>
        <w:spacing w:after="0" w:line="240" w:lineRule="auto"/>
        <w:textAlignment w:val="baseline"/>
        <w:rPr>
          <w:rFonts w:ascii="Arial" w:eastAsiaTheme="minorEastAsia" w:hAnsi="Arial" w:cs="Arial"/>
          <w:lang w:eastAsia="cs-CZ"/>
        </w:rPr>
      </w:pPr>
    </w:p>
    <w:p w14:paraId="51FDA28A" w14:textId="18EC8B22" w:rsidR="00A749B1" w:rsidRPr="000C2CE4" w:rsidRDefault="000C2CE4" w:rsidP="000C2CE4">
      <w:pPr>
        <w:pStyle w:val="Odstavecseseznamem"/>
        <w:numPr>
          <w:ilvl w:val="0"/>
          <w:numId w:val="7"/>
        </w:numPr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0C2CE4">
        <w:rPr>
          <w:rFonts w:ascii="Arial" w:eastAsia="Times New Roman" w:hAnsi="Arial" w:cs="Arial"/>
          <w:sz w:val="22"/>
          <w:szCs w:val="22"/>
          <w:lang w:eastAsia="cs-CZ"/>
        </w:rPr>
        <w:t xml:space="preserve">Rozšíření </w:t>
      </w:r>
      <w:r w:rsidRPr="000C2CE4">
        <w:rPr>
          <w:rFonts w:ascii="Arial" w:hAnsi="Arial" w:cs="Arial"/>
          <w:sz w:val="22"/>
          <w:szCs w:val="22"/>
          <w:shd w:val="clear" w:color="auto" w:fill="FFFFFF"/>
        </w:rPr>
        <w:t>- automatizované</w:t>
      </w:r>
      <w:proofErr w:type="gramEnd"/>
      <w:r w:rsidRPr="000C2CE4">
        <w:rPr>
          <w:rFonts w:ascii="Arial" w:hAnsi="Arial" w:cs="Arial"/>
          <w:sz w:val="22"/>
          <w:szCs w:val="22"/>
          <w:shd w:val="clear" w:color="auto" w:fill="FFFFFF"/>
        </w:rPr>
        <w:t xml:space="preserve"> pořizování PAP</w:t>
      </w:r>
    </w:p>
    <w:p w14:paraId="20D28431" w14:textId="639361CC" w:rsidR="000C2CE4" w:rsidRDefault="000C2CE4" w:rsidP="000C2CE4">
      <w:pPr>
        <w:pStyle w:val="Odstavecseseznamem"/>
        <w:numPr>
          <w:ilvl w:val="0"/>
          <w:numId w:val="7"/>
        </w:numPr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0C2CE4">
        <w:rPr>
          <w:rFonts w:ascii="Arial" w:eastAsia="Times New Roman" w:hAnsi="Arial" w:cs="Arial"/>
          <w:sz w:val="22"/>
          <w:szCs w:val="22"/>
          <w:lang w:eastAsia="cs-CZ"/>
        </w:rPr>
        <w:t xml:space="preserve">Rozšíření </w:t>
      </w:r>
      <w:r w:rsidRPr="000C2CE4">
        <w:rPr>
          <w:rFonts w:ascii="Arial" w:hAnsi="Arial" w:cs="Arial"/>
          <w:sz w:val="22"/>
          <w:szCs w:val="22"/>
          <w:shd w:val="clear" w:color="auto" w:fill="FFFFFF"/>
        </w:rPr>
        <w:t>– dokladové kontroly PAP</w:t>
      </w:r>
    </w:p>
    <w:p w14:paraId="281BC8A5" w14:textId="77777777" w:rsidR="001C414A" w:rsidRPr="001C414A" w:rsidRDefault="001C414A" w:rsidP="001C414A">
      <w:pPr>
        <w:textAlignment w:val="baseline"/>
        <w:rPr>
          <w:rFonts w:ascii="Arial" w:hAnsi="Arial" w:cs="Arial"/>
          <w:shd w:val="clear" w:color="auto" w:fill="FFFFFF"/>
        </w:rPr>
      </w:pPr>
    </w:p>
    <w:p w14:paraId="04CA0819" w14:textId="6BE70FC2" w:rsidR="000C2CE4" w:rsidRPr="0073606B" w:rsidRDefault="000C2CE4" w:rsidP="0073606B">
      <w:pPr>
        <w:pStyle w:val="Odstavecseseznamem"/>
        <w:textAlignment w:val="baseline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0C2CE4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</w:p>
    <w:p w14:paraId="170AB885" w14:textId="66EA142E" w:rsidR="00632810" w:rsidRPr="00462B8A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62B8A">
        <w:rPr>
          <w:rFonts w:ascii="Arial" w:eastAsia="Times New Roman" w:hAnsi="Arial" w:cs="Arial"/>
          <w:b/>
          <w:bCs/>
          <w:u w:val="single"/>
          <w:lang w:eastAsia="cs-CZ"/>
        </w:rPr>
        <w:t>Cena předmětu plnění</w:t>
      </w:r>
      <w:r w:rsidR="00A749B1" w:rsidRPr="00462B8A">
        <w:rPr>
          <w:rFonts w:ascii="Arial" w:eastAsia="Times New Roman" w:hAnsi="Arial" w:cs="Arial"/>
          <w:b/>
          <w:bCs/>
          <w:u w:val="single"/>
          <w:lang w:eastAsia="cs-CZ"/>
        </w:rPr>
        <w:t>:</w:t>
      </w:r>
    </w:p>
    <w:p w14:paraId="4F1D75DB" w14:textId="77777777" w:rsidR="00462B8A" w:rsidRDefault="00462B8A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576456F2" w14:textId="77777777" w:rsidR="00462B8A" w:rsidRDefault="00462B8A" w:rsidP="00632810">
      <w:pPr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Rozšíření modulu UCR o automatizovaní pořizování PAP a </w:t>
      </w:r>
    </w:p>
    <w:p w14:paraId="0C9C4F1A" w14:textId="77777777" w:rsidR="001C414A" w:rsidRDefault="00462B8A" w:rsidP="00632810">
      <w:pPr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dokladové kontroly PAP: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8 580,-Kč</w:t>
      </w:r>
    </w:p>
    <w:p w14:paraId="6C2C965E" w14:textId="6D0FA791" w:rsidR="00462B8A" w:rsidRDefault="00462B8A" w:rsidP="00632810">
      <w:pPr>
        <w:textAlignment w:val="baseline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Implemetnace</w:t>
      </w:r>
      <w:proofErr w:type="spellEnd"/>
      <w:r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3 370,-Kč</w:t>
      </w:r>
    </w:p>
    <w:p w14:paraId="4F748A0A" w14:textId="4E85206D" w:rsidR="00462B8A" w:rsidRDefault="00462B8A" w:rsidP="00632810">
      <w:pPr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62B8A">
        <w:rPr>
          <w:rFonts w:ascii="Arial" w:eastAsia="Times New Roman" w:hAnsi="Arial" w:cs="Arial"/>
          <w:b/>
          <w:bCs/>
          <w:lang w:eastAsia="cs-CZ"/>
        </w:rPr>
        <w:t>Cena celkem:</w:t>
      </w:r>
      <w:r w:rsidRPr="00462B8A">
        <w:rPr>
          <w:rFonts w:ascii="Arial" w:eastAsia="Times New Roman" w:hAnsi="Arial" w:cs="Arial"/>
          <w:b/>
          <w:bCs/>
          <w:lang w:eastAsia="cs-CZ"/>
        </w:rPr>
        <w:tab/>
      </w:r>
      <w:r w:rsidRPr="00462B8A">
        <w:rPr>
          <w:rFonts w:ascii="Arial" w:eastAsia="Times New Roman" w:hAnsi="Arial" w:cs="Arial"/>
          <w:b/>
          <w:bCs/>
          <w:lang w:eastAsia="cs-CZ"/>
        </w:rPr>
        <w:tab/>
      </w:r>
      <w:r w:rsidRPr="00462B8A">
        <w:rPr>
          <w:rFonts w:ascii="Arial" w:eastAsia="Times New Roman" w:hAnsi="Arial" w:cs="Arial"/>
          <w:b/>
          <w:bCs/>
          <w:lang w:eastAsia="cs-CZ"/>
        </w:rPr>
        <w:tab/>
      </w:r>
      <w:r w:rsidRPr="00462B8A">
        <w:rPr>
          <w:rFonts w:ascii="Arial" w:eastAsia="Times New Roman" w:hAnsi="Arial" w:cs="Arial"/>
          <w:b/>
          <w:bCs/>
          <w:lang w:eastAsia="cs-CZ"/>
        </w:rPr>
        <w:tab/>
      </w:r>
      <w:r w:rsidRPr="00462B8A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 xml:space="preserve">       </w:t>
      </w:r>
      <w:r w:rsidRPr="00462B8A">
        <w:rPr>
          <w:rFonts w:ascii="Arial" w:eastAsia="Times New Roman" w:hAnsi="Arial" w:cs="Arial"/>
          <w:b/>
          <w:bCs/>
          <w:lang w:eastAsia="cs-CZ"/>
        </w:rPr>
        <w:t xml:space="preserve">   11 950,-Kč + DPH</w:t>
      </w:r>
    </w:p>
    <w:p w14:paraId="6B1F84EB" w14:textId="1A544284" w:rsidR="00AE28BB" w:rsidRDefault="00462B8A" w:rsidP="00A749B1">
      <w:pPr>
        <w:textAlignment w:val="baseline"/>
        <w:rPr>
          <w:rFonts w:ascii="Arial" w:eastAsia="Times New Roman" w:hAnsi="Arial" w:cs="Arial"/>
          <w:lang w:eastAsia="cs-CZ"/>
        </w:rPr>
      </w:pPr>
      <w:r w:rsidRPr="00462B8A">
        <w:rPr>
          <w:rFonts w:ascii="Arial" w:eastAsia="Times New Roman" w:hAnsi="Arial" w:cs="Arial"/>
          <w:lang w:eastAsia="cs-CZ"/>
        </w:rPr>
        <w:t>Roční udržovací poplatek 2 574,-Kč</w:t>
      </w:r>
      <w:r w:rsidR="00632810" w:rsidRPr="00462B8A">
        <w:rPr>
          <w:rFonts w:ascii="Arial" w:eastAsia="Times New Roman" w:hAnsi="Arial" w:cs="Arial"/>
          <w:lang w:eastAsia="cs-CZ"/>
        </w:rPr>
        <w:tab/>
      </w:r>
    </w:p>
    <w:p w14:paraId="18BEC0D1" w14:textId="77777777" w:rsidR="001C414A" w:rsidRPr="00462B8A" w:rsidRDefault="001C414A" w:rsidP="00A749B1">
      <w:pPr>
        <w:textAlignment w:val="baseline"/>
        <w:rPr>
          <w:rFonts w:ascii="Arial" w:eastAsia="Times New Roman" w:hAnsi="Arial" w:cs="Arial"/>
          <w:lang w:eastAsia="cs-CZ"/>
        </w:rPr>
      </w:pPr>
    </w:p>
    <w:p w14:paraId="3403371A" w14:textId="4221331C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462B8A">
        <w:rPr>
          <w:rFonts w:ascii="Arial" w:eastAsia="Times New Roman" w:hAnsi="Arial" w:cs="Arial"/>
          <w:b/>
          <w:bCs/>
          <w:u w:val="single"/>
          <w:lang w:eastAsia="cs-CZ"/>
        </w:rPr>
        <w:t>Doba plnění</w:t>
      </w:r>
      <w:r w:rsidRPr="00462B8A">
        <w:rPr>
          <w:rFonts w:ascii="Arial" w:eastAsia="Times New Roman" w:hAnsi="Arial" w:cs="Arial"/>
          <w:b/>
          <w:bCs/>
          <w:lang w:eastAsia="cs-CZ"/>
        </w:rPr>
        <w:t>:</w:t>
      </w:r>
      <w:r w:rsidRPr="00836E62">
        <w:rPr>
          <w:rFonts w:ascii="Arial" w:eastAsia="Times New Roman" w:hAnsi="Arial" w:cs="Arial"/>
          <w:lang w:eastAsia="cs-CZ"/>
        </w:rPr>
        <w:t xml:space="preserve"> </w:t>
      </w:r>
      <w:r w:rsidR="00462B8A">
        <w:rPr>
          <w:rFonts w:ascii="Arial" w:eastAsia="Times New Roman" w:hAnsi="Arial" w:cs="Arial"/>
          <w:lang w:eastAsia="cs-CZ"/>
        </w:rPr>
        <w:t>od 1</w:t>
      </w:r>
      <w:r w:rsidR="00836E62" w:rsidRPr="00836E62">
        <w:rPr>
          <w:rFonts w:ascii="Arial" w:eastAsia="Times New Roman" w:hAnsi="Arial" w:cs="Arial"/>
          <w:lang w:eastAsia="cs-CZ"/>
        </w:rPr>
        <w:t>.</w:t>
      </w:r>
      <w:r w:rsidR="0079507A">
        <w:rPr>
          <w:rFonts w:ascii="Arial" w:eastAsia="Times New Roman" w:hAnsi="Arial" w:cs="Arial"/>
          <w:lang w:eastAsia="cs-CZ"/>
        </w:rPr>
        <w:t>2</w:t>
      </w:r>
      <w:r w:rsidR="00462B8A">
        <w:rPr>
          <w:rFonts w:ascii="Arial" w:eastAsia="Times New Roman" w:hAnsi="Arial" w:cs="Arial"/>
          <w:lang w:eastAsia="cs-CZ"/>
        </w:rPr>
        <w:t>.2023</w:t>
      </w:r>
    </w:p>
    <w:p w14:paraId="7A65BC87" w14:textId="77777777" w:rsidR="00632810" w:rsidRPr="00836E62" w:rsidRDefault="00632810" w:rsidP="00632810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BFE905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CCF4D1D" w14:textId="348CD678" w:rsidR="00632810" w:rsidRPr="00462B8A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hAnsi="Arial" w:cs="Arial"/>
          <w:b/>
          <w:bCs/>
          <w:lang w:eastAsia="cs-CZ"/>
        </w:rPr>
      </w:pPr>
      <w:r w:rsidRPr="00462B8A">
        <w:rPr>
          <w:rFonts w:ascii="Arial" w:eastAsia="Times New Roman" w:hAnsi="Arial" w:cs="Arial"/>
          <w:b/>
          <w:bCs/>
          <w:u w:val="single"/>
          <w:lang w:eastAsia="cs-CZ"/>
        </w:rPr>
        <w:t>Platební podmínky</w:t>
      </w:r>
      <w:r w:rsidRPr="00462B8A">
        <w:rPr>
          <w:rFonts w:ascii="Arial" w:eastAsia="Times New Roman" w:hAnsi="Arial" w:cs="Arial"/>
          <w:b/>
          <w:bCs/>
          <w:lang w:eastAsia="cs-CZ"/>
        </w:rPr>
        <w:t>: </w:t>
      </w:r>
    </w:p>
    <w:p w14:paraId="1A0C7829" w14:textId="77777777" w:rsidR="00836E62" w:rsidRPr="00836E62" w:rsidRDefault="00836E62" w:rsidP="00836E62">
      <w:pPr>
        <w:tabs>
          <w:tab w:val="left" w:pos="284"/>
        </w:tabs>
        <w:spacing w:after="0" w:line="240" w:lineRule="auto"/>
        <w:textAlignment w:val="baseline"/>
        <w:rPr>
          <w:rFonts w:ascii="Arial" w:hAnsi="Arial" w:cs="Arial"/>
          <w:lang w:eastAsia="cs-CZ"/>
        </w:rPr>
      </w:pPr>
    </w:p>
    <w:p w14:paraId="07CE005E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04F0DDC9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vystavena na adresu sídla Objednatele uvedenou v záhlaví objednávky. </w:t>
      </w:r>
    </w:p>
    <w:p w14:paraId="27790E03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doručena na adresu sídla objednatele. </w:t>
      </w:r>
    </w:p>
    <w:p w14:paraId="6A1B4016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Splatnost faktury bude stanovena na 14 dnů. </w:t>
      </w:r>
    </w:p>
    <w:p w14:paraId="32767245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050A9896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028C6BF7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předmět a číslo objednávky, </w:t>
      </w:r>
    </w:p>
    <w:p w14:paraId="6016A26B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číslo faktury, den vystavení faktury, datum splatnosti, den uskutečnění plnění a fakturovanou částku, </w:t>
      </w:r>
    </w:p>
    <w:p w14:paraId="5F61CBD9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lastRenderedPageBreak/>
        <w:t>základ dané (DPH), sazbu daně a její výši, razítko a podpis oprávněné osoby Dodavatele, stvrzující oprávněnost a formální a věcnou správnost faktury. </w:t>
      </w:r>
    </w:p>
    <w:p w14:paraId="45D620AB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42B01BFC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792E608B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33AB813" w14:textId="77777777" w:rsidR="00632810" w:rsidRPr="00462B8A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  <w:r w:rsidRPr="00462B8A">
        <w:rPr>
          <w:rFonts w:ascii="Arial" w:eastAsia="Times New Roman" w:hAnsi="Arial" w:cs="Arial"/>
          <w:b/>
          <w:bCs/>
          <w:u w:val="single"/>
          <w:lang w:eastAsia="cs-CZ"/>
        </w:rPr>
        <w:t>Další podmínky</w:t>
      </w:r>
      <w:r w:rsidRPr="00462B8A">
        <w:rPr>
          <w:rFonts w:ascii="Arial" w:eastAsia="Times New Roman" w:hAnsi="Arial" w:cs="Arial"/>
          <w:b/>
          <w:bCs/>
          <w:lang w:eastAsia="cs-CZ"/>
        </w:rPr>
        <w:t>:</w:t>
      </w:r>
    </w:p>
    <w:p w14:paraId="7EB462E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  </w:t>
      </w:r>
    </w:p>
    <w:p w14:paraId="6942317F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36E62">
        <w:rPr>
          <w:rFonts w:ascii="Arial" w:eastAsia="Times New Roman" w:hAnsi="Arial" w:cs="Arial"/>
          <w:sz w:val="22"/>
          <w:szCs w:val="22"/>
          <w:lang w:eastAsia="cs-CZ"/>
        </w:rPr>
        <w:br/>
        <w:t>a udělují svolení k jejich užití a zveřejnění bez stanovení jakýchkoliv dalších podmínek. </w:t>
      </w:r>
    </w:p>
    <w:p w14:paraId="2B71CB4D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47910D9B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49DF90C" w14:textId="4BE0D102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není oprávněn postoupit jakékoliv své pohledávky z této objednávky na třetí osobu bez předchozího písemného souhlasu Objednatele, a to ani částečně.</w:t>
      </w:r>
    </w:p>
    <w:p w14:paraId="414F2074" w14:textId="1285A13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Pro případné spory smluvní strany sjednávají místní příslušnost obecného soudu Objednatele. </w:t>
      </w:r>
    </w:p>
    <w:p w14:paraId="00F29D6A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768DA6A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333E2E08" w14:textId="72F68D6C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779C5999" w14:textId="44263C0A" w:rsidR="00AE28BB" w:rsidRDefault="00AE28BB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09DA3669" w14:textId="77777777" w:rsidR="00AE28BB" w:rsidRDefault="00AE28BB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7378A91E" w14:textId="77777777" w:rsidR="00632810" w:rsidRPr="00DA778B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632810" w:rsidRPr="00DA778B" w14:paraId="7F281C0E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D749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013B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9994B0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4D4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BD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805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BF8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Podpis, razítko:</w:t>
            </w:r>
          </w:p>
        </w:tc>
      </w:tr>
      <w:tr w:rsidR="00632810" w:rsidRPr="00DA778B" w14:paraId="3F492084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183D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a generální 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2D1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Jaromír Řezáč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98F" w14:textId="480EA448" w:rsidR="00632810" w:rsidRPr="00DA778B" w:rsidRDefault="0079507A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9.2.2023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2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ACF734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3863918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6C4BEEA0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136C6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594F4D6D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4668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64892C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711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6F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59B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92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Podpis:</w:t>
            </w:r>
          </w:p>
        </w:tc>
      </w:tr>
      <w:tr w:rsidR="00632810" w:rsidRPr="00DA778B" w14:paraId="78F21F9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173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4E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AE" w14:textId="0FFEFB8D" w:rsidR="00632810" w:rsidRPr="00DA778B" w:rsidRDefault="00462B8A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328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027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56BF06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7D9846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E573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CA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720" w14:textId="5FC401BD" w:rsidR="00632810" w:rsidRPr="00DA778B" w:rsidRDefault="00462B8A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32810">
              <w:rPr>
                <w:sz w:val="22"/>
                <w:szCs w:val="22"/>
              </w:rPr>
              <w:t>.</w:t>
            </w:r>
            <w:r w:rsidR="00836E62"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0BA" w14:textId="77777777" w:rsidR="00632810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7F2D720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26475B6C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1A8AF53C" w14:textId="77777777" w:rsidR="00632810" w:rsidRPr="00DA778B" w:rsidRDefault="00632810" w:rsidP="00632810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FEEBEB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43BEDDAF" w14:textId="77777777" w:rsidR="00632810" w:rsidRPr="00DA778B" w:rsidRDefault="00632810" w:rsidP="00632810">
      <w:pPr>
        <w:pStyle w:val="Zakladnisazba"/>
        <w:ind w:left="0" w:right="0"/>
        <w:rPr>
          <w:rFonts w:ascii="Arial" w:hAnsi="Arial" w:cs="Arial"/>
          <w:sz w:val="22"/>
          <w:szCs w:val="22"/>
        </w:rPr>
      </w:pPr>
    </w:p>
    <w:p w14:paraId="782D2A89" w14:textId="14FECED4" w:rsidR="00185E13" w:rsidRPr="00632810" w:rsidRDefault="00185E13" w:rsidP="00632810"/>
    <w:sectPr w:rsidR="00185E13" w:rsidRPr="00632810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C808" w14:textId="77777777" w:rsidR="00451260" w:rsidRDefault="00451260" w:rsidP="00DE1676">
      <w:pPr>
        <w:spacing w:after="0" w:line="240" w:lineRule="auto"/>
      </w:pPr>
      <w:r>
        <w:separator/>
      </w:r>
    </w:p>
  </w:endnote>
  <w:endnote w:type="continuationSeparator" w:id="0">
    <w:p w14:paraId="4ACECDD1" w14:textId="77777777" w:rsidR="00451260" w:rsidRDefault="0045126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2F1A314D" w:rsidR="00FB7A5C" w:rsidRDefault="00A749B1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AC55" w14:textId="77777777" w:rsidR="00451260" w:rsidRDefault="00451260" w:rsidP="00DE1676">
      <w:pPr>
        <w:spacing w:after="0" w:line="240" w:lineRule="auto"/>
      </w:pPr>
      <w:r>
        <w:separator/>
      </w:r>
    </w:p>
  </w:footnote>
  <w:footnote w:type="continuationSeparator" w:id="0">
    <w:p w14:paraId="6077E0E5" w14:textId="77777777" w:rsidR="00451260" w:rsidRDefault="0045126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757F7CB8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>
      <w:rPr>
        <w:rFonts w:ascii="Arial" w:hAnsi="Arial" w:cs="Arial"/>
        <w:szCs w:val="36"/>
      </w:rPr>
      <w:t>1</w:t>
    </w:r>
    <w:r w:rsidR="008B2C31">
      <w:rPr>
        <w:rFonts w:ascii="Arial" w:hAnsi="Arial" w:cs="Arial"/>
        <w:szCs w:val="36"/>
      </w:rPr>
      <w:t>61.010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462B8A">
      <w:rPr>
        <w:rFonts w:ascii="Arial" w:hAnsi="Arial" w:cs="Arial"/>
        <w:szCs w:val="36"/>
      </w:rPr>
      <w:t>9</w:t>
    </w:r>
    <w:r w:rsidR="001C4C07" w:rsidRPr="001C4C07">
      <w:rPr>
        <w:rFonts w:ascii="Arial" w:hAnsi="Arial" w:cs="Arial"/>
        <w:szCs w:val="36"/>
      </w:rPr>
      <w:t>.</w:t>
    </w:r>
    <w:r w:rsidR="00A749B1">
      <w:rPr>
        <w:rFonts w:ascii="Arial" w:hAnsi="Arial" w:cs="Arial"/>
        <w:szCs w:val="36"/>
      </w:rPr>
      <w:t>2</w:t>
    </w:r>
    <w:r w:rsidR="001C4C07" w:rsidRPr="001C4C07">
      <w:rPr>
        <w:rFonts w:ascii="Arial" w:hAnsi="Arial" w:cs="Arial"/>
        <w:szCs w:val="36"/>
      </w:rPr>
      <w:t>.202</w:t>
    </w:r>
    <w:r w:rsidR="008B2C31">
      <w:rPr>
        <w:rFonts w:ascii="Arial" w:hAnsi="Arial" w:cs="Arial"/>
        <w:szCs w:val="36"/>
      </w:rPr>
      <w:t>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293"/>
    <w:multiLevelType w:val="hybridMultilevel"/>
    <w:tmpl w:val="06A0A4F6"/>
    <w:lvl w:ilvl="0" w:tplc="0FA44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273F"/>
    <w:multiLevelType w:val="multilevel"/>
    <w:tmpl w:val="B756DB00"/>
    <w:styleLink w:val="Stylodrek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00376E"/>
        <w:u w:val="none"/>
        <w:effect w:val="none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trike w:val="0"/>
        <w:dstrike w:val="0"/>
        <w:color w:val="778592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trike w:val="0"/>
        <w:dstrike w:val="0"/>
        <w:color w:val="93A3B2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0D1"/>
    <w:multiLevelType w:val="hybridMultilevel"/>
    <w:tmpl w:val="D6D4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027161">
    <w:abstractNumId w:val="4"/>
  </w:num>
  <w:num w:numId="2" w16cid:durableId="919409869">
    <w:abstractNumId w:val="3"/>
  </w:num>
  <w:num w:numId="3" w16cid:durableId="1447849595">
    <w:abstractNumId w:val="2"/>
  </w:num>
  <w:num w:numId="4" w16cid:durableId="376200432">
    <w:abstractNumId w:val="6"/>
  </w:num>
  <w:num w:numId="5" w16cid:durableId="907960828">
    <w:abstractNumId w:val="1"/>
  </w:num>
  <w:num w:numId="6" w16cid:durableId="1486163659">
    <w:abstractNumId w:val="5"/>
  </w:num>
  <w:num w:numId="7" w16cid:durableId="80859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77D22"/>
    <w:rsid w:val="000C2CE4"/>
    <w:rsid w:val="000E7EEA"/>
    <w:rsid w:val="001240B8"/>
    <w:rsid w:val="00185E13"/>
    <w:rsid w:val="001A742D"/>
    <w:rsid w:val="001C414A"/>
    <w:rsid w:val="001C4C07"/>
    <w:rsid w:val="00277FB5"/>
    <w:rsid w:val="002C27F4"/>
    <w:rsid w:val="002C56E2"/>
    <w:rsid w:val="0031154F"/>
    <w:rsid w:val="003D177E"/>
    <w:rsid w:val="00451260"/>
    <w:rsid w:val="00462B8A"/>
    <w:rsid w:val="004662FF"/>
    <w:rsid w:val="00484A93"/>
    <w:rsid w:val="00496176"/>
    <w:rsid w:val="004A060C"/>
    <w:rsid w:val="004A1044"/>
    <w:rsid w:val="004A758F"/>
    <w:rsid w:val="004D7A9B"/>
    <w:rsid w:val="004E2A90"/>
    <w:rsid w:val="005111F0"/>
    <w:rsid w:val="00552081"/>
    <w:rsid w:val="005615A5"/>
    <w:rsid w:val="005B02EA"/>
    <w:rsid w:val="005C76B9"/>
    <w:rsid w:val="00632810"/>
    <w:rsid w:val="006A7A40"/>
    <w:rsid w:val="00706B0D"/>
    <w:rsid w:val="0073606B"/>
    <w:rsid w:val="00736D4B"/>
    <w:rsid w:val="0079507A"/>
    <w:rsid w:val="00804BB8"/>
    <w:rsid w:val="00805361"/>
    <w:rsid w:val="00813AF9"/>
    <w:rsid w:val="00814F4A"/>
    <w:rsid w:val="00836E62"/>
    <w:rsid w:val="008479B9"/>
    <w:rsid w:val="00861F28"/>
    <w:rsid w:val="008B2C31"/>
    <w:rsid w:val="009477D5"/>
    <w:rsid w:val="0095592C"/>
    <w:rsid w:val="00A67643"/>
    <w:rsid w:val="00A749B1"/>
    <w:rsid w:val="00A82925"/>
    <w:rsid w:val="00A94E45"/>
    <w:rsid w:val="00A97508"/>
    <w:rsid w:val="00AB10BC"/>
    <w:rsid w:val="00AB2E06"/>
    <w:rsid w:val="00AE28BB"/>
    <w:rsid w:val="00B1052E"/>
    <w:rsid w:val="00B12016"/>
    <w:rsid w:val="00B62C40"/>
    <w:rsid w:val="00B634FB"/>
    <w:rsid w:val="00BA690F"/>
    <w:rsid w:val="00C32E74"/>
    <w:rsid w:val="00C3671B"/>
    <w:rsid w:val="00C5750F"/>
    <w:rsid w:val="00C8131A"/>
    <w:rsid w:val="00D14114"/>
    <w:rsid w:val="00D930C3"/>
    <w:rsid w:val="00DE1676"/>
    <w:rsid w:val="00E05672"/>
    <w:rsid w:val="00F352B3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paragraph" w:styleId="Nadpis1">
    <w:name w:val="heading 1"/>
    <w:basedOn w:val="Normln"/>
    <w:next w:val="Normln"/>
    <w:link w:val="Nadpis1Char"/>
    <w:uiPriority w:val="9"/>
    <w:rsid w:val="00632810"/>
    <w:pPr>
      <w:keepNext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32810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akladnisazba">
    <w:name w:val="Zakladni_sazba"/>
    <w:basedOn w:val="Normlnweb"/>
    <w:qFormat/>
    <w:rsid w:val="00632810"/>
    <w:pPr>
      <w:spacing w:before="400" w:after="0" w:line="240" w:lineRule="auto"/>
      <w:ind w:left="1928" w:right="794"/>
    </w:pPr>
    <w:rPr>
      <w:rFonts w:ascii="Helvetica" w:eastAsia="Times New Roman" w:hAnsi="Helvetica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3281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ulkatxtobyejn">
    <w:name w:val="Tabulka_txt_obyčejný"/>
    <w:basedOn w:val="Normln"/>
    <w:rsid w:val="00632810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632810"/>
    <w:pPr>
      <w:spacing w:before="40" w:after="4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2810"/>
    <w:rPr>
      <w:rFonts w:ascii="Times New Roman" w:hAnsi="Times New Roman" w:cs="Times New Roman"/>
      <w:sz w:val="24"/>
      <w:szCs w:val="24"/>
    </w:rPr>
  </w:style>
  <w:style w:type="numbering" w:customStyle="1" w:styleId="StylodrekG">
    <w:name w:val="Styl odrážek G"/>
    <w:uiPriority w:val="99"/>
    <w:rsid w:val="00A749B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5</cp:revision>
  <cp:lastPrinted>2023-02-09T15:11:00Z</cp:lastPrinted>
  <dcterms:created xsi:type="dcterms:W3CDTF">2023-02-08T17:39:00Z</dcterms:created>
  <dcterms:modified xsi:type="dcterms:W3CDTF">2024-07-19T15:06:00Z</dcterms:modified>
</cp:coreProperties>
</file>