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E045" w14:textId="6C902710" w:rsidR="00EE64D2" w:rsidRPr="00BC6F4D" w:rsidRDefault="00EE64D2" w:rsidP="00EE64D2">
      <w:pPr>
        <w:pStyle w:val="Styl1"/>
        <w:rPr>
          <w:i/>
          <w:sz w:val="32"/>
          <w:szCs w:val="32"/>
        </w:rPr>
      </w:pPr>
      <w:r w:rsidRPr="00BC6F4D">
        <w:rPr>
          <w:bCs/>
          <w:sz w:val="32"/>
          <w:szCs w:val="32"/>
        </w:rPr>
        <w:t xml:space="preserve">Dodatek č. </w:t>
      </w:r>
      <w:r>
        <w:rPr>
          <w:bCs/>
          <w:sz w:val="32"/>
          <w:szCs w:val="32"/>
        </w:rPr>
        <w:t>1</w:t>
      </w:r>
      <w:r w:rsidRPr="00BC6F4D">
        <w:rPr>
          <w:bCs/>
          <w:sz w:val="32"/>
          <w:szCs w:val="32"/>
        </w:rPr>
        <w:t xml:space="preserve"> ke Smlouvě</w:t>
      </w:r>
      <w:r w:rsidRPr="00BC6F4D">
        <w:rPr>
          <w:b w:val="0"/>
          <w:bCs/>
          <w:sz w:val="32"/>
          <w:szCs w:val="32"/>
        </w:rPr>
        <w:t xml:space="preserve"> </w:t>
      </w:r>
      <w:r w:rsidRPr="00BC6F4D">
        <w:rPr>
          <w:sz w:val="32"/>
          <w:szCs w:val="32"/>
        </w:rPr>
        <w:t>č. D/25</w:t>
      </w:r>
      <w:r w:rsidR="000B210A">
        <w:rPr>
          <w:sz w:val="32"/>
          <w:szCs w:val="32"/>
        </w:rPr>
        <w:t>55</w:t>
      </w:r>
      <w:r w:rsidRPr="00BC6F4D">
        <w:rPr>
          <w:sz w:val="32"/>
          <w:szCs w:val="32"/>
        </w:rPr>
        <w:t>/2022/ZD</w:t>
      </w:r>
    </w:p>
    <w:p w14:paraId="5A6C7F4C" w14:textId="77777777" w:rsidR="00EE64D2" w:rsidRPr="00BC6F4D" w:rsidRDefault="00EE64D2" w:rsidP="00EE64D2">
      <w:pPr>
        <w:pStyle w:val="Default"/>
        <w:spacing w:line="259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C6F4D">
        <w:rPr>
          <w:rFonts w:ascii="Arial" w:hAnsi="Arial" w:cs="Arial"/>
          <w:b/>
          <w:bCs/>
          <w:color w:val="auto"/>
          <w:sz w:val="32"/>
          <w:szCs w:val="32"/>
        </w:rPr>
        <w:t xml:space="preserve"> o poskytnutí vyrovnávací platby ve formě dotace </w:t>
      </w:r>
    </w:p>
    <w:p w14:paraId="565D458E" w14:textId="77777777" w:rsidR="00B63270" w:rsidRPr="007B3383" w:rsidRDefault="00B63270" w:rsidP="00B63270">
      <w:pPr>
        <w:pStyle w:val="Default"/>
        <w:spacing w:line="259" w:lineRule="auto"/>
        <w:jc w:val="center"/>
        <w:rPr>
          <w:color w:val="auto"/>
        </w:rPr>
      </w:pPr>
      <w:r>
        <w:rPr>
          <w:i/>
          <w:iCs/>
          <w:color w:val="auto"/>
        </w:rPr>
        <w:t>(dále též jako „Dodatek</w:t>
      </w:r>
      <w:r w:rsidRPr="007B3383">
        <w:rPr>
          <w:i/>
          <w:iCs/>
          <w:color w:val="auto"/>
        </w:rPr>
        <w:t>“)</w:t>
      </w:r>
    </w:p>
    <w:p w14:paraId="5342453B" w14:textId="77777777" w:rsidR="00B63270" w:rsidRDefault="00B63270" w:rsidP="00B63270">
      <w:pPr>
        <w:pStyle w:val="Styl1"/>
        <w:rPr>
          <w:sz w:val="28"/>
        </w:rPr>
      </w:pPr>
    </w:p>
    <w:p w14:paraId="3066D0CF" w14:textId="77777777" w:rsidR="00B63270" w:rsidRPr="0005331E" w:rsidRDefault="00B63270" w:rsidP="00B63270"/>
    <w:p w14:paraId="73657002" w14:textId="77777777" w:rsidR="00B63270" w:rsidRPr="008A7F56" w:rsidRDefault="00B63270" w:rsidP="00B63270">
      <w:pPr>
        <w:pStyle w:val="Zkladntext"/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8A7F56">
        <w:rPr>
          <w:rFonts w:ascii="Arial" w:hAnsi="Arial" w:cs="Arial"/>
          <w:sz w:val="20"/>
        </w:rPr>
        <w:t xml:space="preserve"> dle § 159 a násl. zákona č. 500/2004 Sb., správní řád, ve znění pozdějších předpisů)</w:t>
      </w:r>
    </w:p>
    <w:p w14:paraId="158702A0" w14:textId="77777777" w:rsidR="00B63270" w:rsidRPr="008A7F56" w:rsidRDefault="00B63270" w:rsidP="00B63270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77C7E60" w14:textId="77777777" w:rsidR="00B63270" w:rsidRPr="008A7F56" w:rsidRDefault="00B63270" w:rsidP="00B63270">
      <w:pPr>
        <w:pStyle w:val="Zkladntext"/>
        <w:spacing w:before="60" w:after="120"/>
        <w:rPr>
          <w:sz w:val="22"/>
        </w:rPr>
      </w:pPr>
    </w:p>
    <w:p w14:paraId="7E09294C" w14:textId="77777777" w:rsidR="00B63270" w:rsidRPr="008A7F56" w:rsidRDefault="00B63270" w:rsidP="00B63270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408255B3" w14:textId="77777777" w:rsidR="00B63270" w:rsidRPr="008A7F56" w:rsidRDefault="00B63270" w:rsidP="00B63270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31E8F10" w14:textId="77777777" w:rsidR="00B63270" w:rsidRPr="008A7F56" w:rsidRDefault="00B63270" w:rsidP="00B63270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26634D41" w14:textId="77777777" w:rsidR="00B63270" w:rsidRPr="008A7F56" w:rsidRDefault="00B63270" w:rsidP="00B63270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4A97746E" w14:textId="77777777" w:rsidR="00B63270" w:rsidRPr="008A7F56" w:rsidRDefault="00B63270" w:rsidP="00B63270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2F5A742F" w14:textId="77777777" w:rsidR="00B63270" w:rsidRPr="008A7F56" w:rsidRDefault="00B63270" w:rsidP="00B63270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3C27E8D8" w14:textId="77777777" w:rsidR="00B63270" w:rsidRPr="008A7F56" w:rsidRDefault="00B63270" w:rsidP="00B63270">
      <w:pPr>
        <w:pStyle w:val="Zkladntext"/>
        <w:spacing w:before="60"/>
        <w:ind w:left="2552"/>
        <w:rPr>
          <w:sz w:val="22"/>
        </w:rPr>
      </w:pPr>
    </w:p>
    <w:p w14:paraId="621C8208" w14:textId="77777777" w:rsidR="00B63270" w:rsidRDefault="00B63270" w:rsidP="00B63270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AB54565" w14:textId="77777777" w:rsidR="00390FE9" w:rsidRPr="008A7F56" w:rsidRDefault="00390FE9" w:rsidP="00B63270">
      <w:pPr>
        <w:pStyle w:val="Zkladntext"/>
        <w:ind w:firstLine="2552"/>
        <w:rPr>
          <w:rFonts w:ascii="Arial" w:hAnsi="Arial" w:cs="Arial"/>
          <w:sz w:val="20"/>
        </w:rPr>
      </w:pPr>
    </w:p>
    <w:p w14:paraId="17342164" w14:textId="77777777" w:rsidR="00B63270" w:rsidRPr="008A7F56" w:rsidRDefault="00B63270" w:rsidP="00B6327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B61A54">
        <w:rPr>
          <w:rFonts w:ascii="Arial" w:hAnsi="Arial" w:cs="Arial"/>
          <w:b/>
          <w:sz w:val="20"/>
          <w:szCs w:val="20"/>
        </w:rPr>
        <w:t>Krajská nemocnice T. Bati, a. s.</w:t>
      </w:r>
    </w:p>
    <w:p w14:paraId="45F1A9CF" w14:textId="77777777" w:rsidR="00B63270" w:rsidRDefault="00B63270" w:rsidP="00B63270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B61A54">
        <w:rPr>
          <w:rFonts w:ascii="Arial" w:hAnsi="Arial" w:cs="Arial"/>
          <w:sz w:val="20"/>
          <w:szCs w:val="20"/>
        </w:rPr>
        <w:t>se sídlem Zlín, Havlíčkovo nábřeží 600, PSČ 762 75</w:t>
      </w:r>
    </w:p>
    <w:p w14:paraId="630C31AE" w14:textId="77777777" w:rsidR="00B63270" w:rsidRDefault="00B63270" w:rsidP="00B63270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B61A54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B61A54">
        <w:rPr>
          <w:rFonts w:ascii="Arial" w:hAnsi="Arial" w:cs="Arial"/>
          <w:sz w:val="20"/>
          <w:szCs w:val="20"/>
        </w:rPr>
        <w:t>: 27661989</w:t>
      </w:r>
    </w:p>
    <w:p w14:paraId="65DAC4FD" w14:textId="77777777" w:rsidR="00B63270" w:rsidRDefault="00B63270" w:rsidP="00B63270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zastupuje: </w:t>
      </w:r>
    </w:p>
    <w:p w14:paraId="14C40384" w14:textId="77777777" w:rsidR="00B63270" w:rsidRPr="00451148" w:rsidRDefault="00B63270" w:rsidP="00B63270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Hrdý</w:t>
      </w:r>
      <w:r w:rsidRPr="00451148">
        <w:rPr>
          <w:rFonts w:ascii="Arial" w:hAnsi="Arial" w:cs="Arial"/>
          <w:sz w:val="20"/>
          <w:szCs w:val="20"/>
        </w:rPr>
        <w:t>, předseda představenstva a</w:t>
      </w:r>
    </w:p>
    <w:p w14:paraId="3EC79E1E" w14:textId="77777777" w:rsidR="00B63270" w:rsidRPr="003955BE" w:rsidRDefault="00B63270" w:rsidP="00B63270">
      <w:pPr>
        <w:spacing w:before="6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</w:t>
      </w:r>
      <w:r w:rsidRPr="003955B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Martin Déva</w:t>
      </w:r>
      <w:r w:rsidRPr="003955BE">
        <w:rPr>
          <w:rFonts w:ascii="Arial" w:hAnsi="Arial" w:cs="Arial"/>
          <w:sz w:val="20"/>
          <w:szCs w:val="20"/>
        </w:rPr>
        <w:t>,</w:t>
      </w:r>
      <w:r w:rsidRPr="003955BE" w:rsidDel="00EA7C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</w:t>
      </w:r>
      <w:r w:rsidRPr="003955BE">
        <w:rPr>
          <w:rFonts w:ascii="Arial" w:hAnsi="Arial" w:cs="Arial"/>
          <w:sz w:val="20"/>
          <w:szCs w:val="20"/>
        </w:rPr>
        <w:t xml:space="preserve"> představenstva</w:t>
      </w:r>
    </w:p>
    <w:p w14:paraId="0B09C376" w14:textId="77777777" w:rsidR="00B63270" w:rsidRPr="003955BE" w:rsidRDefault="00B63270" w:rsidP="00B63270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640F46">
        <w:rPr>
          <w:rFonts w:ascii="Arial" w:hAnsi="Arial" w:cs="Arial"/>
          <w:sz w:val="20"/>
          <w:szCs w:val="20"/>
        </w:rPr>
        <w:t>bankovní spojení</w:t>
      </w:r>
      <w:r w:rsidRPr="00640F46">
        <w:rPr>
          <w:rFonts w:ascii="Arial" w:hAnsi="Arial" w:cs="Arial"/>
          <w:i/>
          <w:sz w:val="20"/>
          <w:szCs w:val="20"/>
        </w:rPr>
        <w:t xml:space="preserve">: </w:t>
      </w:r>
      <w:r w:rsidRPr="00640F46">
        <w:rPr>
          <w:rFonts w:ascii="Arial" w:hAnsi="Arial" w:cs="Arial"/>
          <w:sz w:val="20"/>
          <w:szCs w:val="20"/>
        </w:rPr>
        <w:t>151203067/0300, ČSOB</w:t>
      </w:r>
    </w:p>
    <w:p w14:paraId="109C4230" w14:textId="77777777" w:rsidR="00B63270" w:rsidRPr="00451148" w:rsidRDefault="00B63270" w:rsidP="00B63270">
      <w:pPr>
        <w:spacing w:before="60"/>
        <w:ind w:left="2520"/>
        <w:rPr>
          <w:rFonts w:ascii="Arial" w:hAnsi="Arial" w:cs="Arial"/>
          <w:i/>
          <w:color w:val="7030A0"/>
          <w:sz w:val="16"/>
          <w:szCs w:val="16"/>
        </w:rPr>
      </w:pPr>
      <w:r w:rsidRPr="00451148">
        <w:rPr>
          <w:rFonts w:ascii="Arial" w:hAnsi="Arial" w:cs="Arial"/>
          <w:sz w:val="20"/>
        </w:rPr>
        <w:t>zapsaný u KS v Brně oddíl B, vložka 4437</w:t>
      </w:r>
    </w:p>
    <w:p w14:paraId="55A3E761" w14:textId="77777777" w:rsidR="00B63270" w:rsidRPr="00451148" w:rsidRDefault="00B63270" w:rsidP="00B63270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451148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451148">
        <w:rPr>
          <w:rFonts w:ascii="Arial" w:hAnsi="Arial" w:cs="Arial"/>
          <w:sz w:val="20"/>
        </w:rPr>
        <w:t>(dále jen „</w:t>
      </w:r>
      <w:r w:rsidRPr="00451148">
        <w:rPr>
          <w:rFonts w:ascii="Arial" w:hAnsi="Arial" w:cs="Arial"/>
          <w:b/>
          <w:sz w:val="20"/>
        </w:rPr>
        <w:t>příjemce“</w:t>
      </w:r>
      <w:r w:rsidRPr="00451148">
        <w:rPr>
          <w:rFonts w:ascii="Arial" w:hAnsi="Arial" w:cs="Arial"/>
          <w:sz w:val="20"/>
        </w:rPr>
        <w:t>)</w:t>
      </w:r>
    </w:p>
    <w:p w14:paraId="0BF05A12" w14:textId="6DAD97F5" w:rsidR="00B63270" w:rsidRDefault="00B63270" w:rsidP="00B63270">
      <w:pPr>
        <w:rPr>
          <w:rFonts w:ascii="Arial" w:hAnsi="Arial" w:cs="Arial"/>
          <w:sz w:val="20"/>
          <w:szCs w:val="20"/>
        </w:rPr>
      </w:pPr>
    </w:p>
    <w:p w14:paraId="37AB71FD" w14:textId="77777777" w:rsidR="004F12AB" w:rsidRPr="00EA58AC" w:rsidRDefault="004F12AB" w:rsidP="00B63270">
      <w:pPr>
        <w:rPr>
          <w:rFonts w:ascii="Arial" w:hAnsi="Arial" w:cs="Arial"/>
          <w:sz w:val="20"/>
          <w:szCs w:val="20"/>
        </w:rPr>
      </w:pPr>
    </w:p>
    <w:p w14:paraId="1EBC123F" w14:textId="77777777" w:rsidR="00B63270" w:rsidRPr="00EA58AC" w:rsidRDefault="00B63270" w:rsidP="00B63270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Úvodní ustanovení</w:t>
      </w:r>
    </w:p>
    <w:p w14:paraId="3014CD16" w14:textId="3F29E4C4" w:rsidR="00B63270" w:rsidRPr="00205966" w:rsidRDefault="00B63270" w:rsidP="009C02C0">
      <w:pPr>
        <w:pStyle w:val="Default"/>
        <w:spacing w:before="240" w:line="259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</w:t>
      </w:r>
      <w:r w:rsidR="00AF60F9">
        <w:rPr>
          <w:rFonts w:ascii="Arial" w:hAnsi="Arial" w:cs="Arial"/>
          <w:color w:val="auto"/>
          <w:sz w:val="20"/>
          <w:szCs w:val="20"/>
        </w:rPr>
        <w:t xml:space="preserve">na základě Pověření k poskytování </w:t>
      </w:r>
      <w:r w:rsidR="00AF60F9" w:rsidRPr="00AF60F9">
        <w:rPr>
          <w:rFonts w:ascii="Arial" w:hAnsi="Arial" w:cs="Arial"/>
          <w:color w:val="auto"/>
          <w:sz w:val="20"/>
          <w:szCs w:val="20"/>
        </w:rPr>
        <w:t>služeb obecného</w:t>
      </w:r>
      <w:r w:rsidR="00956D3E">
        <w:rPr>
          <w:rFonts w:ascii="Arial" w:hAnsi="Arial" w:cs="Arial"/>
          <w:color w:val="auto"/>
          <w:sz w:val="20"/>
          <w:szCs w:val="20"/>
        </w:rPr>
        <w:t xml:space="preserve"> hospodářského zájmu ze dne 13. </w:t>
      </w:r>
      <w:r w:rsidR="00AF60F9" w:rsidRPr="00AF60F9">
        <w:rPr>
          <w:rFonts w:ascii="Arial" w:hAnsi="Arial" w:cs="Arial"/>
          <w:color w:val="auto"/>
          <w:sz w:val="20"/>
          <w:szCs w:val="20"/>
        </w:rPr>
        <w:t>10. 2016 číslo smlouvy D/2953/2016/ZD</w:t>
      </w:r>
      <w:r w:rsidR="00340251">
        <w:rPr>
          <w:rFonts w:ascii="Arial" w:hAnsi="Arial" w:cs="Arial"/>
          <w:color w:val="auto"/>
          <w:sz w:val="20"/>
          <w:szCs w:val="20"/>
        </w:rPr>
        <w:t xml:space="preserve">, ve znění dodatku č. 1 ze dne </w:t>
      </w:r>
      <w:r w:rsidR="00DE373D">
        <w:rPr>
          <w:rFonts w:ascii="Arial" w:hAnsi="Arial" w:cs="Arial"/>
          <w:color w:val="auto"/>
          <w:sz w:val="20"/>
          <w:szCs w:val="20"/>
        </w:rPr>
        <w:t>24.</w:t>
      </w:r>
      <w:r w:rsidR="00D34E46">
        <w:rPr>
          <w:rFonts w:ascii="Arial" w:hAnsi="Arial" w:cs="Arial"/>
          <w:color w:val="auto"/>
          <w:sz w:val="20"/>
          <w:szCs w:val="20"/>
        </w:rPr>
        <w:t xml:space="preserve"> </w:t>
      </w:r>
      <w:r w:rsidR="00DE373D">
        <w:rPr>
          <w:rFonts w:ascii="Arial" w:hAnsi="Arial" w:cs="Arial"/>
          <w:color w:val="auto"/>
          <w:sz w:val="20"/>
          <w:szCs w:val="20"/>
        </w:rPr>
        <w:t>4.</w:t>
      </w:r>
      <w:r w:rsidR="00D34E46">
        <w:rPr>
          <w:rFonts w:ascii="Arial" w:hAnsi="Arial" w:cs="Arial"/>
          <w:color w:val="auto"/>
          <w:sz w:val="20"/>
          <w:szCs w:val="20"/>
        </w:rPr>
        <w:t xml:space="preserve"> </w:t>
      </w:r>
      <w:r w:rsidR="00DE373D">
        <w:rPr>
          <w:rFonts w:ascii="Arial" w:hAnsi="Arial" w:cs="Arial"/>
          <w:color w:val="auto"/>
          <w:sz w:val="20"/>
          <w:szCs w:val="20"/>
        </w:rPr>
        <w:t>2023,</w:t>
      </w:r>
      <w:r w:rsidR="00340251">
        <w:rPr>
          <w:rFonts w:ascii="Arial" w:hAnsi="Arial" w:cs="Arial"/>
          <w:color w:val="auto"/>
          <w:sz w:val="20"/>
          <w:szCs w:val="20"/>
        </w:rPr>
        <w:t xml:space="preserve"> </w:t>
      </w:r>
      <w:r w:rsidR="00792DDB">
        <w:rPr>
          <w:rFonts w:ascii="Arial" w:hAnsi="Arial" w:cs="Arial"/>
          <w:color w:val="auto"/>
          <w:sz w:val="20"/>
          <w:szCs w:val="20"/>
        </w:rPr>
        <w:t xml:space="preserve">dodatku č. 2 ze </w:t>
      </w:r>
      <w:r w:rsidR="00792DDB" w:rsidRPr="00205966">
        <w:rPr>
          <w:rFonts w:ascii="Arial" w:hAnsi="Arial" w:cs="Arial"/>
          <w:color w:val="auto"/>
          <w:sz w:val="20"/>
          <w:szCs w:val="20"/>
        </w:rPr>
        <w:t xml:space="preserve">dne </w:t>
      </w:r>
      <w:r w:rsidR="000A25E3" w:rsidRPr="00205966">
        <w:rPr>
          <w:rFonts w:ascii="Arial" w:hAnsi="Arial" w:cs="Arial"/>
          <w:color w:val="auto"/>
          <w:sz w:val="20"/>
          <w:szCs w:val="20"/>
        </w:rPr>
        <w:t>27.</w:t>
      </w:r>
      <w:r w:rsidR="00D34E46">
        <w:rPr>
          <w:rFonts w:ascii="Arial" w:hAnsi="Arial" w:cs="Arial"/>
          <w:color w:val="auto"/>
          <w:sz w:val="20"/>
          <w:szCs w:val="20"/>
        </w:rPr>
        <w:t xml:space="preserve"> </w:t>
      </w:r>
      <w:r w:rsidR="000A25E3" w:rsidRPr="00205966">
        <w:rPr>
          <w:rFonts w:ascii="Arial" w:hAnsi="Arial" w:cs="Arial"/>
          <w:color w:val="auto"/>
          <w:sz w:val="20"/>
          <w:szCs w:val="20"/>
        </w:rPr>
        <w:t>3.</w:t>
      </w:r>
      <w:r w:rsidR="00D34E46">
        <w:rPr>
          <w:rFonts w:ascii="Arial" w:hAnsi="Arial" w:cs="Arial"/>
          <w:color w:val="auto"/>
          <w:sz w:val="20"/>
          <w:szCs w:val="20"/>
        </w:rPr>
        <w:t xml:space="preserve"> </w:t>
      </w:r>
      <w:r w:rsidR="000A25E3" w:rsidRPr="00205966">
        <w:rPr>
          <w:rFonts w:ascii="Arial" w:hAnsi="Arial" w:cs="Arial"/>
          <w:color w:val="auto"/>
          <w:sz w:val="20"/>
          <w:szCs w:val="20"/>
        </w:rPr>
        <w:t>202</w:t>
      </w:r>
      <w:r w:rsidR="00843845" w:rsidRPr="00205966">
        <w:rPr>
          <w:rFonts w:ascii="Arial" w:hAnsi="Arial" w:cs="Arial"/>
          <w:color w:val="auto"/>
          <w:sz w:val="20"/>
          <w:szCs w:val="20"/>
        </w:rPr>
        <w:t>4</w:t>
      </w:r>
      <w:r w:rsidR="00AF60F9" w:rsidRPr="00205966">
        <w:rPr>
          <w:rFonts w:ascii="Arial" w:hAnsi="Arial" w:cs="Arial"/>
          <w:color w:val="auto"/>
          <w:sz w:val="20"/>
          <w:szCs w:val="20"/>
        </w:rPr>
        <w:t xml:space="preserve"> </w:t>
      </w:r>
      <w:r w:rsidRPr="00205966">
        <w:rPr>
          <w:rFonts w:ascii="Arial" w:hAnsi="Arial" w:cs="Arial"/>
          <w:color w:val="auto"/>
          <w:sz w:val="20"/>
          <w:szCs w:val="20"/>
        </w:rPr>
        <w:t xml:space="preserve">uzavřely dne </w:t>
      </w:r>
      <w:r w:rsidR="0009013B" w:rsidRPr="00205966">
        <w:rPr>
          <w:rFonts w:ascii="Arial" w:hAnsi="Arial" w:cs="Arial"/>
          <w:color w:val="auto"/>
          <w:sz w:val="20"/>
          <w:szCs w:val="20"/>
        </w:rPr>
        <w:t>12</w:t>
      </w:r>
      <w:r w:rsidRPr="00205966">
        <w:rPr>
          <w:rFonts w:ascii="Arial" w:hAnsi="Arial" w:cs="Arial"/>
          <w:color w:val="auto"/>
          <w:sz w:val="20"/>
          <w:szCs w:val="20"/>
        </w:rPr>
        <w:t xml:space="preserve">. </w:t>
      </w:r>
      <w:r w:rsidR="0009013B" w:rsidRPr="00205966">
        <w:rPr>
          <w:rFonts w:ascii="Arial" w:hAnsi="Arial" w:cs="Arial"/>
          <w:color w:val="auto"/>
          <w:sz w:val="20"/>
          <w:szCs w:val="20"/>
        </w:rPr>
        <w:t>12</w:t>
      </w:r>
      <w:r w:rsidRPr="00205966">
        <w:rPr>
          <w:rFonts w:ascii="Arial" w:hAnsi="Arial" w:cs="Arial"/>
          <w:color w:val="auto"/>
          <w:sz w:val="20"/>
          <w:szCs w:val="20"/>
        </w:rPr>
        <w:t>. 2022 Smlouvu o poskytnutí vyrovnávací platby ve formě dotace č. D/</w:t>
      </w:r>
      <w:r w:rsidR="000C32C2" w:rsidRPr="00205966">
        <w:rPr>
          <w:rFonts w:ascii="Arial" w:hAnsi="Arial" w:cs="Arial"/>
          <w:color w:val="auto"/>
          <w:sz w:val="20"/>
          <w:szCs w:val="20"/>
        </w:rPr>
        <w:t>25</w:t>
      </w:r>
      <w:r w:rsidR="000B210A">
        <w:rPr>
          <w:rFonts w:ascii="Arial" w:hAnsi="Arial" w:cs="Arial"/>
          <w:color w:val="auto"/>
          <w:sz w:val="20"/>
          <w:szCs w:val="20"/>
        </w:rPr>
        <w:t>55</w:t>
      </w:r>
      <w:r w:rsidRPr="00205966">
        <w:rPr>
          <w:rFonts w:ascii="Arial" w:hAnsi="Arial" w:cs="Arial"/>
          <w:color w:val="auto"/>
          <w:sz w:val="20"/>
          <w:szCs w:val="20"/>
        </w:rPr>
        <w:t xml:space="preserve">/2022/ZD (dále též jako „Smlouva“) na zajištění </w:t>
      </w:r>
      <w:r w:rsidR="00AF60F9" w:rsidRPr="00205966">
        <w:rPr>
          <w:rFonts w:ascii="Arial" w:hAnsi="Arial" w:cs="Arial"/>
          <w:color w:val="auto"/>
          <w:sz w:val="20"/>
          <w:szCs w:val="20"/>
        </w:rPr>
        <w:t xml:space="preserve">služby obecného hospodářského zájmu </w:t>
      </w:r>
      <w:r w:rsidR="00631BBB" w:rsidRPr="00205966">
        <w:rPr>
          <w:rFonts w:ascii="Arial" w:hAnsi="Arial" w:cs="Arial"/>
          <w:color w:val="auto"/>
          <w:sz w:val="20"/>
          <w:szCs w:val="20"/>
        </w:rPr>
        <w:t>–</w:t>
      </w:r>
      <w:r w:rsidR="00631BBB">
        <w:rPr>
          <w:rFonts w:ascii="Arial" w:hAnsi="Arial" w:cs="Arial"/>
          <w:color w:val="auto"/>
          <w:sz w:val="20"/>
          <w:szCs w:val="20"/>
        </w:rPr>
        <w:t xml:space="preserve"> </w:t>
      </w:r>
      <w:r w:rsidRPr="00205966">
        <w:rPr>
          <w:rFonts w:ascii="Arial" w:hAnsi="Arial" w:cs="Arial"/>
          <w:color w:val="auto"/>
          <w:sz w:val="20"/>
          <w:szCs w:val="20"/>
        </w:rPr>
        <w:t>lékařské pohotovostní služby ve smyslu přílohy č. 1 Smlouvy, a to na období od 1. 1. do 31. 12. 202</w:t>
      </w:r>
      <w:r w:rsidR="00C6261F" w:rsidRPr="00205966">
        <w:rPr>
          <w:rFonts w:ascii="Arial" w:hAnsi="Arial" w:cs="Arial"/>
          <w:color w:val="auto"/>
          <w:sz w:val="20"/>
          <w:szCs w:val="20"/>
        </w:rPr>
        <w:t>4</w:t>
      </w:r>
      <w:r w:rsidRPr="00205966">
        <w:rPr>
          <w:rFonts w:ascii="Arial" w:hAnsi="Arial" w:cs="Arial"/>
          <w:color w:val="auto"/>
          <w:sz w:val="20"/>
          <w:szCs w:val="20"/>
        </w:rPr>
        <w:t>.</w:t>
      </w:r>
      <w:r w:rsidR="00AF60F9" w:rsidRPr="0020596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FF4B410" w14:textId="77777777" w:rsidR="00B63270" w:rsidRPr="00205966" w:rsidRDefault="00B63270" w:rsidP="00B63270">
      <w:pPr>
        <w:rPr>
          <w:rFonts w:ascii="Arial" w:hAnsi="Arial" w:cs="Arial"/>
          <w:sz w:val="20"/>
          <w:szCs w:val="20"/>
        </w:rPr>
      </w:pPr>
    </w:p>
    <w:p w14:paraId="49ACBE8D" w14:textId="77777777" w:rsidR="00B63270" w:rsidRPr="00205966" w:rsidRDefault="00B63270" w:rsidP="00B63270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205966">
        <w:rPr>
          <w:rFonts w:ascii="Arial" w:hAnsi="Arial" w:cs="Arial"/>
          <w:b/>
          <w:bCs/>
          <w:color w:val="auto"/>
          <w:szCs w:val="20"/>
        </w:rPr>
        <w:t>Změny Smlouvy</w:t>
      </w:r>
    </w:p>
    <w:p w14:paraId="248AD4BF" w14:textId="77777777" w:rsidR="00D11079" w:rsidRPr="00205966" w:rsidRDefault="00D11079" w:rsidP="00075154"/>
    <w:p w14:paraId="7D105EA7" w14:textId="1F7F9C2B" w:rsidR="00B63270" w:rsidRPr="00205966" w:rsidRDefault="00D11079" w:rsidP="00075154">
      <w:pPr>
        <w:pStyle w:val="Styl1"/>
        <w:numPr>
          <w:ilvl w:val="0"/>
          <w:numId w:val="9"/>
        </w:numPr>
        <w:jc w:val="both"/>
        <w:rPr>
          <w:snapToGrid w:val="0"/>
        </w:rPr>
      </w:pPr>
      <w:r w:rsidRPr="00205966">
        <w:t>P</w:t>
      </w:r>
      <w:r w:rsidR="00B63270" w:rsidRPr="00205966">
        <w:t xml:space="preserve">reambule </w:t>
      </w:r>
      <w:r w:rsidR="003B0A02" w:rsidRPr="00205966">
        <w:rPr>
          <w:snapToGrid w:val="0"/>
        </w:rPr>
        <w:t>se mění a nově zní</w:t>
      </w:r>
      <w:r w:rsidR="00B63270" w:rsidRPr="00205966">
        <w:rPr>
          <w:snapToGrid w:val="0"/>
        </w:rPr>
        <w:t>:</w:t>
      </w:r>
    </w:p>
    <w:p w14:paraId="780C3782" w14:textId="77777777" w:rsidR="00B63270" w:rsidRPr="00205966" w:rsidRDefault="00B63270" w:rsidP="00B63270">
      <w:pPr>
        <w:pStyle w:val="Styl1"/>
      </w:pPr>
      <w:r w:rsidRPr="00205966">
        <w:t>Preambule</w:t>
      </w:r>
    </w:p>
    <w:p w14:paraId="07BA6666" w14:textId="31ABA4C0" w:rsidR="00B63270" w:rsidRDefault="00B63270" w:rsidP="00B63270">
      <w:pPr>
        <w:pStyle w:val="Styl2"/>
      </w:pPr>
      <w:r w:rsidRPr="00205966">
        <w:t>Na základě Pověření k poskytování služeb obecného hospodářského zájmu ze dne 13. 10. 2016 číslo smlouvy D/2953/2016/ZD (dále jen „Pověření“) byl příjemce pověřen poskytovatelem poskytováním služeb</w:t>
      </w:r>
      <w:r w:rsidRPr="00451148">
        <w:t xml:space="preserve"> obecného hospodářského zájmu (dále jen „SOHZ“). </w:t>
      </w:r>
      <w:r w:rsidR="002E1431">
        <w:t>Pověření bylo rozšířeno Dodatkem č. 1 ze dne 2</w:t>
      </w:r>
      <w:r w:rsidR="00C001CF">
        <w:t>4</w:t>
      </w:r>
      <w:r w:rsidR="002E1431">
        <w:t>.04.2023</w:t>
      </w:r>
      <w:r w:rsidR="00696840">
        <w:t xml:space="preserve"> o službu „ambulantní činnosti příjmové ambulance dětského o</w:t>
      </w:r>
      <w:r w:rsidR="00D91FC6">
        <w:t>d</w:t>
      </w:r>
      <w:r w:rsidR="00696840">
        <w:t>dělení KNTB v době mimo ordinační dobu LPS“</w:t>
      </w:r>
      <w:r w:rsidR="002E1431">
        <w:t xml:space="preserve">. </w:t>
      </w:r>
      <w:r w:rsidRPr="00451148">
        <w:t xml:space="preserve">Za zajištění poskytování SOHZ je nyní příjemci poskytnuta vyrovnávací platba ve formě dotace. Jelikož jsou tímto splněny podmínky Rozhodnutí Komise 2012/21/EU ze dne 20. prosince 2011 o použití čl. 106 odst. 2 Smlouvy o fungování Evropské unie na státní podporu ve formě vyrovnávací platby za závazek veřejné služby udělené určitým podnikům pověřeným poskytováním služeb obecného hospodářského zájmu, které bylo publikováno v Úředním věstníku EU dne 11. 1. 2012, lze tuto vyrovnávací </w:t>
      </w:r>
      <w:r w:rsidRPr="00451148">
        <w:lastRenderedPageBreak/>
        <w:t>platbu ve formě dotace, považovat za veřejnou podporou slučitelnou s vnitřním trhem, která nepodléhá ohlašovací povinnosti ve smyslu čl. 108 odst. 3 Smlouvy o fungování Evropské unie.</w:t>
      </w:r>
    </w:p>
    <w:p w14:paraId="14F70763" w14:textId="77777777" w:rsidR="00D11079" w:rsidRDefault="00D11079" w:rsidP="00B63270">
      <w:pPr>
        <w:pStyle w:val="Styl2"/>
      </w:pPr>
    </w:p>
    <w:p w14:paraId="0E8AC712" w14:textId="06CCA72E" w:rsidR="0010558D" w:rsidRPr="00070885" w:rsidRDefault="0010558D" w:rsidP="00070885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70885">
        <w:rPr>
          <w:rFonts w:ascii="Arial" w:hAnsi="Arial" w:cs="Arial"/>
          <w:sz w:val="20"/>
          <w:szCs w:val="20"/>
        </w:rPr>
        <w:t>Z důvodu zvýšení částky dotace se mění takto:</w:t>
      </w:r>
    </w:p>
    <w:p w14:paraId="7D03C218" w14:textId="77777777" w:rsidR="0010558D" w:rsidRDefault="0010558D" w:rsidP="001055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Dosavadní text Čl. I. Předmět smlouvy se </w:t>
      </w:r>
      <w:proofErr w:type="gramStart"/>
      <w:r>
        <w:rPr>
          <w:rFonts w:ascii="Arial" w:hAnsi="Arial" w:cs="Arial"/>
          <w:sz w:val="20"/>
          <w:szCs w:val="20"/>
        </w:rPr>
        <w:t>ruší</w:t>
      </w:r>
      <w:proofErr w:type="gramEnd"/>
      <w:r>
        <w:rPr>
          <w:rFonts w:ascii="Arial" w:hAnsi="Arial" w:cs="Arial"/>
          <w:sz w:val="20"/>
          <w:szCs w:val="20"/>
        </w:rPr>
        <w:t xml:space="preserve"> a nahrazuje tímto zněním:</w:t>
      </w:r>
    </w:p>
    <w:p w14:paraId="143A1AA4" w14:textId="17CEA940" w:rsidR="0010558D" w:rsidRPr="00205966" w:rsidRDefault="0010558D" w:rsidP="00226A77">
      <w:pPr>
        <w:pStyle w:val="Styl3"/>
        <w:numPr>
          <w:ilvl w:val="1"/>
          <w:numId w:val="17"/>
        </w:numPr>
      </w:pPr>
      <w:r w:rsidRPr="00451148">
        <w:t xml:space="preserve">Poskytovatel se zavazuje poskytnout příjemci vyrovnávací platbu ve formě </w:t>
      </w:r>
      <w:r w:rsidRPr="00451148">
        <w:rPr>
          <w:b/>
          <w:snapToGrid w:val="0"/>
        </w:rPr>
        <w:t>neinvestiční</w:t>
      </w:r>
      <w:r w:rsidRPr="00451148">
        <w:t xml:space="preserve"> </w:t>
      </w:r>
      <w:r w:rsidRPr="00451148">
        <w:rPr>
          <w:b/>
        </w:rPr>
        <w:t>dotace</w:t>
      </w:r>
      <w:r w:rsidRPr="00451148">
        <w:t xml:space="preserve"> </w:t>
      </w:r>
      <w:r w:rsidRPr="00205966">
        <w:t>z rozpočtu Zlínského kraje do výše</w:t>
      </w:r>
      <w:r w:rsidRPr="00205966">
        <w:rPr>
          <w:b/>
        </w:rPr>
        <w:t xml:space="preserve"> </w:t>
      </w:r>
      <w:r w:rsidR="00A62589" w:rsidRPr="00205966">
        <w:rPr>
          <w:b/>
        </w:rPr>
        <w:t>13</w:t>
      </w:r>
      <w:r w:rsidR="00AA0249" w:rsidRPr="00205966">
        <w:rPr>
          <w:b/>
        </w:rPr>
        <w:t> </w:t>
      </w:r>
      <w:r w:rsidR="00A62589" w:rsidRPr="00205966">
        <w:rPr>
          <w:b/>
        </w:rPr>
        <w:t>615</w:t>
      </w:r>
      <w:r w:rsidR="00AA0249" w:rsidRPr="00205966">
        <w:rPr>
          <w:b/>
        </w:rPr>
        <w:t xml:space="preserve"> </w:t>
      </w:r>
      <w:r w:rsidR="00A62589" w:rsidRPr="00205966">
        <w:rPr>
          <w:b/>
        </w:rPr>
        <w:t>000</w:t>
      </w:r>
      <w:r w:rsidRPr="00205966">
        <w:rPr>
          <w:b/>
        </w:rPr>
        <w:t xml:space="preserve"> Kč</w:t>
      </w:r>
      <w:r w:rsidRPr="00205966">
        <w:t xml:space="preserve"> (slovy </w:t>
      </w:r>
      <w:r w:rsidR="00A62589" w:rsidRPr="00205966">
        <w:t>třináct</w:t>
      </w:r>
      <w:r w:rsidRPr="00205966">
        <w:t xml:space="preserve"> milion</w:t>
      </w:r>
      <w:r w:rsidR="00A62589" w:rsidRPr="00205966">
        <w:t>ů</w:t>
      </w:r>
      <w:r w:rsidRPr="00205966">
        <w:t xml:space="preserve"> </w:t>
      </w:r>
      <w:r w:rsidR="00481A37" w:rsidRPr="00205966">
        <w:t xml:space="preserve">šest </w:t>
      </w:r>
      <w:r w:rsidRPr="00205966">
        <w:t xml:space="preserve">set </w:t>
      </w:r>
      <w:r w:rsidR="00481A37" w:rsidRPr="00205966">
        <w:t xml:space="preserve">patnáct </w:t>
      </w:r>
      <w:r w:rsidRPr="00205966">
        <w:t>tisíc korun českých), na financování poskytování SOHZ vymezené v příloze č. 1 této smlouvy v roce 2024.</w:t>
      </w:r>
    </w:p>
    <w:p w14:paraId="604BEE57" w14:textId="77777777" w:rsidR="00226A77" w:rsidRDefault="00226A77" w:rsidP="00226A77">
      <w:pPr>
        <w:pStyle w:val="Styl3"/>
        <w:numPr>
          <w:ilvl w:val="0"/>
          <w:numId w:val="0"/>
        </w:numPr>
        <w:ind w:left="375"/>
      </w:pPr>
    </w:p>
    <w:p w14:paraId="66E0B4F8" w14:textId="6C6D6A69" w:rsidR="00070885" w:rsidRPr="00070885" w:rsidRDefault="00070885" w:rsidP="00070885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70885">
        <w:rPr>
          <w:rFonts w:ascii="Arial" w:hAnsi="Arial" w:cs="Arial"/>
          <w:sz w:val="20"/>
          <w:szCs w:val="20"/>
        </w:rPr>
        <w:t xml:space="preserve">Dosavadní text Čl. </w:t>
      </w:r>
      <w:proofErr w:type="spellStart"/>
      <w:r w:rsidRPr="00070885">
        <w:rPr>
          <w:rFonts w:ascii="Arial" w:hAnsi="Arial" w:cs="Arial"/>
          <w:sz w:val="20"/>
          <w:szCs w:val="20"/>
        </w:rPr>
        <w:t>IIl</w:t>
      </w:r>
      <w:proofErr w:type="spellEnd"/>
      <w:r w:rsidRPr="00070885">
        <w:rPr>
          <w:rFonts w:ascii="Arial" w:hAnsi="Arial" w:cs="Arial"/>
          <w:sz w:val="20"/>
          <w:szCs w:val="20"/>
        </w:rPr>
        <w:t xml:space="preserve">. Financování poskytování SOHZ bod 3.1 se </w:t>
      </w:r>
      <w:proofErr w:type="gramStart"/>
      <w:r w:rsidRPr="00070885">
        <w:rPr>
          <w:rFonts w:ascii="Arial" w:hAnsi="Arial" w:cs="Arial"/>
          <w:sz w:val="20"/>
          <w:szCs w:val="20"/>
        </w:rPr>
        <w:t>ruší</w:t>
      </w:r>
      <w:proofErr w:type="gramEnd"/>
      <w:r w:rsidRPr="00070885">
        <w:rPr>
          <w:rFonts w:ascii="Arial" w:hAnsi="Arial" w:cs="Arial"/>
          <w:sz w:val="20"/>
          <w:szCs w:val="20"/>
        </w:rPr>
        <w:t xml:space="preserve"> a nahrazuje tímto zněním:</w:t>
      </w:r>
    </w:p>
    <w:p w14:paraId="128F12B5" w14:textId="21714D74" w:rsidR="00B8226C" w:rsidRPr="007F317B" w:rsidRDefault="00B8226C" w:rsidP="00B8226C">
      <w:pPr>
        <w:pStyle w:val="Zkladntext"/>
        <w:numPr>
          <w:ilvl w:val="1"/>
          <w:numId w:val="16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sz w:val="20"/>
        </w:rPr>
        <w:t xml:space="preserve">Vyrovnávací platba ve formě dotace bude příjemci poskytnuta na účet uvedený v záhlaví této smlouvy následujícím způsobem: </w:t>
      </w:r>
    </w:p>
    <w:p w14:paraId="15CD548A" w14:textId="09F895E7" w:rsidR="00B8226C" w:rsidRPr="00451148" w:rsidRDefault="00B8226C" w:rsidP="00B8226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b/>
          <w:sz w:val="20"/>
        </w:rPr>
        <w:t>po nabytí účinnosti této smlouvy</w:t>
      </w:r>
      <w:r w:rsidRPr="007F317B">
        <w:rPr>
          <w:rFonts w:ascii="Arial" w:hAnsi="Arial" w:cs="Arial"/>
          <w:sz w:val="20"/>
        </w:rPr>
        <w:t xml:space="preserve"> bude vyplacena nejpozději 28. 2. </w:t>
      </w:r>
      <w:r w:rsidRPr="007F317B">
        <w:rPr>
          <w:rFonts w:ascii="Arial" w:hAnsi="Arial" w:cs="Arial"/>
          <w:b/>
          <w:sz w:val="20"/>
        </w:rPr>
        <w:t>první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>
        <w:rPr>
          <w:rFonts w:ascii="Arial" w:hAnsi="Arial" w:cs="Arial"/>
          <w:b/>
          <w:sz w:val="20"/>
        </w:rPr>
        <w:t>5 067 5</w:t>
      </w:r>
      <w:r w:rsidRPr="00E03562">
        <w:rPr>
          <w:rFonts w:ascii="Arial" w:hAnsi="Arial" w:cs="Arial"/>
          <w:b/>
          <w:sz w:val="20"/>
        </w:rPr>
        <w:t>00 Kč</w:t>
      </w:r>
      <w:r w:rsidRPr="007F317B">
        <w:rPr>
          <w:rFonts w:ascii="Arial" w:hAnsi="Arial" w:cs="Arial"/>
          <w:sz w:val="20"/>
        </w:rPr>
        <w:t xml:space="preserve"> (slovy </w:t>
      </w:r>
      <w:r>
        <w:rPr>
          <w:rFonts w:ascii="Arial" w:hAnsi="Arial" w:cs="Arial"/>
          <w:sz w:val="20"/>
        </w:rPr>
        <w:t>pět milionů</w:t>
      </w:r>
      <w:r w:rsidRPr="007F31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šedesát sedm</w:t>
      </w:r>
      <w:r w:rsidRPr="007F317B">
        <w:rPr>
          <w:rFonts w:ascii="Arial" w:hAnsi="Arial" w:cs="Arial"/>
          <w:sz w:val="20"/>
        </w:rPr>
        <w:t xml:space="preserve"> tisíc</w:t>
      </w:r>
      <w:r>
        <w:rPr>
          <w:rFonts w:ascii="Arial" w:hAnsi="Arial" w:cs="Arial"/>
          <w:sz w:val="20"/>
        </w:rPr>
        <w:t xml:space="preserve"> pět set</w:t>
      </w:r>
      <w:r w:rsidRPr="007F317B">
        <w:rPr>
          <w:rFonts w:ascii="Arial" w:hAnsi="Arial" w:cs="Arial"/>
          <w:sz w:val="20"/>
        </w:rPr>
        <w:t xml:space="preserve"> korun českých), </w:t>
      </w:r>
      <w:r w:rsidRPr="007F317B">
        <w:rPr>
          <w:rFonts w:ascii="Arial" w:hAnsi="Arial" w:cs="Arial"/>
          <w:b/>
          <w:sz w:val="20"/>
        </w:rPr>
        <w:t>druhá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>
        <w:rPr>
          <w:rFonts w:ascii="Arial" w:hAnsi="Arial" w:cs="Arial"/>
          <w:b/>
          <w:sz w:val="20"/>
        </w:rPr>
        <w:t>2 533 750</w:t>
      </w:r>
      <w:r w:rsidRPr="00E03562">
        <w:rPr>
          <w:rFonts w:ascii="Arial" w:hAnsi="Arial" w:cs="Arial"/>
          <w:b/>
          <w:sz w:val="20"/>
        </w:rPr>
        <w:t xml:space="preserve"> Kč</w:t>
      </w:r>
      <w:r w:rsidRPr="007F317B">
        <w:rPr>
          <w:rFonts w:ascii="Arial" w:hAnsi="Arial" w:cs="Arial"/>
          <w:sz w:val="20"/>
        </w:rPr>
        <w:t xml:space="preserve"> (slovy </w:t>
      </w:r>
      <w:r>
        <w:rPr>
          <w:rFonts w:ascii="Arial" w:hAnsi="Arial" w:cs="Arial"/>
          <w:sz w:val="20"/>
        </w:rPr>
        <w:t>dva</w:t>
      </w:r>
      <w:r w:rsidRPr="007F317B">
        <w:rPr>
          <w:rFonts w:ascii="Arial" w:hAnsi="Arial" w:cs="Arial"/>
          <w:sz w:val="20"/>
        </w:rPr>
        <w:t xml:space="preserve"> milion</w:t>
      </w:r>
      <w:r>
        <w:rPr>
          <w:rFonts w:ascii="Arial" w:hAnsi="Arial" w:cs="Arial"/>
          <w:sz w:val="20"/>
        </w:rPr>
        <w:t>y</w:t>
      </w:r>
      <w:r w:rsidRPr="007F31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pět set</w:t>
      </w:r>
      <w:r w:rsidRPr="007F31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třicet tři tisíc sedm set padesát </w:t>
      </w:r>
      <w:r w:rsidRPr="007F317B">
        <w:rPr>
          <w:rFonts w:ascii="Arial" w:hAnsi="Arial" w:cs="Arial"/>
          <w:sz w:val="20"/>
        </w:rPr>
        <w:t xml:space="preserve">korun českých) bude vyplacena v termínu do 30. 6., </w:t>
      </w:r>
      <w:r w:rsidRPr="007F317B">
        <w:rPr>
          <w:rFonts w:ascii="Arial" w:hAnsi="Arial" w:cs="Arial"/>
          <w:b/>
          <w:sz w:val="20"/>
        </w:rPr>
        <w:t>třetí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 w:rsidR="00AA0249" w:rsidRPr="004D0902">
        <w:rPr>
          <w:rFonts w:ascii="Arial" w:hAnsi="Arial" w:cs="Arial"/>
          <w:b/>
          <w:bCs/>
          <w:sz w:val="20"/>
        </w:rPr>
        <w:t>6 013 750</w:t>
      </w:r>
      <w:r w:rsidRPr="00E03562">
        <w:rPr>
          <w:rFonts w:ascii="Arial" w:hAnsi="Arial" w:cs="Arial"/>
          <w:b/>
          <w:sz w:val="20"/>
        </w:rPr>
        <w:t xml:space="preserve"> Kč</w:t>
      </w:r>
      <w:r w:rsidRPr="007F317B">
        <w:rPr>
          <w:rFonts w:ascii="Arial" w:hAnsi="Arial" w:cs="Arial"/>
          <w:sz w:val="20"/>
        </w:rPr>
        <w:t xml:space="preserve"> (</w:t>
      </w:r>
      <w:r w:rsidRPr="003A395A">
        <w:rPr>
          <w:rFonts w:ascii="Arial" w:hAnsi="Arial" w:cs="Arial"/>
          <w:sz w:val="20"/>
        </w:rPr>
        <w:t xml:space="preserve">slovy </w:t>
      </w:r>
      <w:r w:rsidR="009074EF">
        <w:rPr>
          <w:rFonts w:ascii="Arial" w:hAnsi="Arial" w:cs="Arial"/>
          <w:sz w:val="20"/>
        </w:rPr>
        <w:t>šest</w:t>
      </w:r>
      <w:r w:rsidRPr="003A395A">
        <w:rPr>
          <w:rFonts w:ascii="Arial" w:hAnsi="Arial" w:cs="Arial"/>
          <w:sz w:val="20"/>
        </w:rPr>
        <w:t xml:space="preserve"> milion</w:t>
      </w:r>
      <w:r w:rsidR="009074EF">
        <w:rPr>
          <w:rFonts w:ascii="Arial" w:hAnsi="Arial" w:cs="Arial"/>
          <w:sz w:val="20"/>
        </w:rPr>
        <w:t>ů</w:t>
      </w:r>
      <w:r w:rsidRPr="003A395A">
        <w:rPr>
          <w:rFonts w:ascii="Arial" w:hAnsi="Arial" w:cs="Arial"/>
          <w:sz w:val="20"/>
        </w:rPr>
        <w:t xml:space="preserve"> </w:t>
      </w:r>
      <w:r w:rsidR="009074EF">
        <w:rPr>
          <w:rFonts w:ascii="Arial" w:hAnsi="Arial" w:cs="Arial"/>
          <w:sz w:val="20"/>
        </w:rPr>
        <w:t xml:space="preserve">třináct </w:t>
      </w:r>
      <w:r w:rsidRPr="003A395A">
        <w:rPr>
          <w:rFonts w:ascii="Arial" w:hAnsi="Arial" w:cs="Arial"/>
          <w:sz w:val="20"/>
        </w:rPr>
        <w:t>tisíc sedm set padesát korun českých</w:t>
      </w:r>
      <w:r w:rsidRPr="00451148">
        <w:rPr>
          <w:rFonts w:ascii="Arial" w:hAnsi="Arial" w:cs="Arial"/>
          <w:sz w:val="20"/>
        </w:rPr>
        <w:t xml:space="preserve">) bude vyplacena v termínu do 30. 9. </w:t>
      </w:r>
    </w:p>
    <w:p w14:paraId="105672D9" w14:textId="77777777" w:rsidR="00967631" w:rsidRPr="00451148" w:rsidRDefault="00967631" w:rsidP="00B63270">
      <w:pPr>
        <w:pStyle w:val="Styl2"/>
      </w:pPr>
    </w:p>
    <w:p w14:paraId="63E31A82" w14:textId="1D7316AA" w:rsidR="00237286" w:rsidRPr="00EA58AC" w:rsidRDefault="00D34E46" w:rsidP="00B8226C">
      <w:pPr>
        <w:pStyle w:val="Styl1"/>
        <w:numPr>
          <w:ilvl w:val="0"/>
          <w:numId w:val="16"/>
        </w:numPr>
        <w:jc w:val="left"/>
        <w:rPr>
          <w:snapToGrid w:val="0"/>
        </w:rPr>
      </w:pPr>
      <w:r w:rsidRPr="00070885">
        <w:t xml:space="preserve">Dosavadní text Čl. </w:t>
      </w:r>
      <w:proofErr w:type="spellStart"/>
      <w:r w:rsidRPr="00070885">
        <w:t>IIl</w:t>
      </w:r>
      <w:proofErr w:type="spellEnd"/>
      <w:r w:rsidRPr="00070885">
        <w:t>. Financování poskytování SOHZ bod</w:t>
      </w:r>
      <w:r w:rsidR="00237286" w:rsidRPr="00EA58AC">
        <w:t xml:space="preserve">. </w:t>
      </w:r>
      <w:r w:rsidR="00237286">
        <w:t>3.6</w:t>
      </w:r>
      <w:r w:rsidR="00237286" w:rsidRPr="00EA58AC">
        <w:rPr>
          <w:snapToGrid w:val="0"/>
        </w:rPr>
        <w:t xml:space="preserve"> se mění a nově zní:</w:t>
      </w:r>
    </w:p>
    <w:p w14:paraId="42CD87BE" w14:textId="789DEF43" w:rsidR="00237286" w:rsidRPr="005169EF" w:rsidRDefault="007F4D15" w:rsidP="00B72BBA">
      <w:pPr>
        <w:pStyle w:val="Zkladntext"/>
        <w:tabs>
          <w:tab w:val="clear" w:pos="7776"/>
          <w:tab w:val="left" w:pos="7560"/>
        </w:tabs>
        <w:spacing w:beforeLines="50" w:before="120"/>
        <w:ind w:left="426" w:hanging="426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3.6</w:t>
      </w:r>
      <w:r w:rsidR="0002422E">
        <w:rPr>
          <w:rFonts w:ascii="Arial" w:hAnsi="Arial" w:cs="Arial"/>
          <w:sz w:val="20"/>
        </w:rPr>
        <w:t xml:space="preserve">. </w:t>
      </w:r>
      <w:r w:rsidR="00237286">
        <w:rPr>
          <w:rFonts w:ascii="Arial" w:hAnsi="Arial" w:cs="Arial"/>
          <w:sz w:val="20"/>
        </w:rPr>
        <w:t xml:space="preserve">Závěrečnou zprávou s vyúčtováním vyrovnávací platby se rozumí předložení prohlášení </w:t>
      </w:r>
      <w:r w:rsidR="0002422E">
        <w:rPr>
          <w:rFonts w:ascii="Arial" w:hAnsi="Arial" w:cs="Arial"/>
          <w:sz w:val="20"/>
        </w:rPr>
        <w:t xml:space="preserve">        </w:t>
      </w:r>
      <w:r w:rsidR="00237286">
        <w:rPr>
          <w:rFonts w:ascii="Arial" w:hAnsi="Arial" w:cs="Arial"/>
          <w:sz w:val="20"/>
        </w:rPr>
        <w:t>představenstva o využití dotace a povinné přílohy sestávající z:</w:t>
      </w:r>
    </w:p>
    <w:p w14:paraId="61DD4A3B" w14:textId="63394681" w:rsidR="00237286" w:rsidRPr="00237286" w:rsidRDefault="00237286" w:rsidP="00237286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Pr="00237286">
        <w:rPr>
          <w:rFonts w:ascii="Arial" w:hAnsi="Arial" w:cs="Arial"/>
          <w:sz w:val="20"/>
        </w:rPr>
        <w:t xml:space="preserve">výkazů zisků a ztrát za souhrnné středisko služby obecného hospodářského zájmu rozdělení dle Pověření Přílohy 1 body 3.1, 3.2, 3.3 </w:t>
      </w:r>
      <w:r w:rsidR="003C7DD1">
        <w:rPr>
          <w:rFonts w:ascii="Arial" w:hAnsi="Arial" w:cs="Arial"/>
          <w:sz w:val="20"/>
        </w:rPr>
        <w:t xml:space="preserve">samostatně </w:t>
      </w:r>
      <w:r>
        <w:rPr>
          <w:rFonts w:ascii="Arial" w:hAnsi="Arial" w:cs="Arial"/>
          <w:sz w:val="20"/>
        </w:rPr>
        <w:t xml:space="preserve">a </w:t>
      </w:r>
      <w:r w:rsidR="002E1431">
        <w:rPr>
          <w:rFonts w:ascii="Arial" w:hAnsi="Arial" w:cs="Arial"/>
          <w:sz w:val="20"/>
        </w:rPr>
        <w:t xml:space="preserve">souhrnně </w:t>
      </w:r>
      <w:r w:rsidR="003C7DD1">
        <w:rPr>
          <w:rFonts w:ascii="Arial" w:hAnsi="Arial" w:cs="Arial"/>
          <w:sz w:val="20"/>
        </w:rPr>
        <w:t xml:space="preserve">za bod </w:t>
      </w:r>
      <w:r w:rsidRPr="00237286">
        <w:rPr>
          <w:rFonts w:ascii="Arial" w:hAnsi="Arial" w:cs="Arial"/>
          <w:sz w:val="20"/>
        </w:rPr>
        <w:t>3</w:t>
      </w:r>
      <w:r w:rsidR="003C7D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956D3E">
        <w:rPr>
          <w:rFonts w:ascii="Arial" w:hAnsi="Arial" w:cs="Arial"/>
          <w:sz w:val="20"/>
        </w:rPr>
        <w:t xml:space="preserve">a </w:t>
      </w:r>
      <w:r w:rsidR="003C7DD1" w:rsidRPr="00956D3E">
        <w:rPr>
          <w:rFonts w:ascii="Arial" w:hAnsi="Arial" w:cs="Arial"/>
          <w:sz w:val="20"/>
        </w:rPr>
        <w:t xml:space="preserve">dále </w:t>
      </w:r>
      <w:r w:rsidR="002E1431" w:rsidRPr="00956D3E">
        <w:rPr>
          <w:rFonts w:ascii="Arial" w:hAnsi="Arial" w:cs="Arial"/>
          <w:sz w:val="20"/>
        </w:rPr>
        <w:t xml:space="preserve">samostatně bod </w:t>
      </w:r>
      <w:r w:rsidRPr="00956D3E">
        <w:rPr>
          <w:rFonts w:ascii="Arial" w:hAnsi="Arial" w:cs="Arial"/>
          <w:sz w:val="20"/>
        </w:rPr>
        <w:t>4</w:t>
      </w:r>
      <w:r w:rsidRPr="00237286">
        <w:rPr>
          <w:rFonts w:ascii="Arial" w:hAnsi="Arial" w:cs="Arial"/>
          <w:sz w:val="20"/>
        </w:rPr>
        <w:t>. Spolu s výčtem všech způsobilých nákladů a s výčtem všech výnosů souvisejících s poskytováním SOHZ v členění dle účtové osnovy na syntetické účty.</w:t>
      </w:r>
    </w:p>
    <w:p w14:paraId="01759AD8" w14:textId="0674C485" w:rsidR="00237286" w:rsidRPr="00956D3E" w:rsidRDefault="00237286" w:rsidP="00237286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sz w:val="20"/>
        </w:rPr>
      </w:pPr>
      <w:r w:rsidRPr="00237286">
        <w:rPr>
          <w:rFonts w:ascii="Arial" w:hAnsi="Arial" w:cs="Arial"/>
          <w:sz w:val="20"/>
        </w:rPr>
        <w:t xml:space="preserve">b) souhrnného střediskového vyúčtování služby obecného hospodářského zájmu podle přílohy č. 2 této smlouvy rozdělené dle Pověření Přílohy 1 body 3.1, 3.2, 3.3 </w:t>
      </w:r>
      <w:r w:rsidR="003C7DD1">
        <w:rPr>
          <w:rFonts w:ascii="Arial" w:hAnsi="Arial" w:cs="Arial"/>
          <w:sz w:val="20"/>
        </w:rPr>
        <w:t xml:space="preserve">samostatně </w:t>
      </w:r>
      <w:r w:rsidRPr="00237286">
        <w:rPr>
          <w:rFonts w:ascii="Arial" w:hAnsi="Arial" w:cs="Arial"/>
          <w:sz w:val="20"/>
        </w:rPr>
        <w:t xml:space="preserve">a souhrnně </w:t>
      </w:r>
      <w:r w:rsidRPr="00956D3E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 </w:t>
      </w:r>
      <w:r w:rsidRPr="00237286">
        <w:rPr>
          <w:rFonts w:ascii="Arial" w:hAnsi="Arial" w:cs="Arial"/>
          <w:sz w:val="20"/>
        </w:rPr>
        <w:t>bod 3</w:t>
      </w:r>
      <w:r w:rsidR="003C7D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956D3E">
        <w:rPr>
          <w:rFonts w:ascii="Arial" w:hAnsi="Arial" w:cs="Arial"/>
          <w:sz w:val="20"/>
        </w:rPr>
        <w:t xml:space="preserve">a </w:t>
      </w:r>
      <w:r w:rsidR="003C7DD1" w:rsidRPr="00956D3E">
        <w:rPr>
          <w:rFonts w:ascii="Arial" w:hAnsi="Arial" w:cs="Arial"/>
          <w:sz w:val="20"/>
        </w:rPr>
        <w:t xml:space="preserve">dále </w:t>
      </w:r>
      <w:r w:rsidR="002E1431" w:rsidRPr="00956D3E">
        <w:rPr>
          <w:rFonts w:ascii="Arial" w:hAnsi="Arial" w:cs="Arial"/>
          <w:sz w:val="20"/>
        </w:rPr>
        <w:t xml:space="preserve">samostatně za bod </w:t>
      </w:r>
      <w:r w:rsidRPr="00956D3E">
        <w:rPr>
          <w:rFonts w:ascii="Arial" w:hAnsi="Arial" w:cs="Arial"/>
          <w:sz w:val="20"/>
        </w:rPr>
        <w:t>4.</w:t>
      </w:r>
    </w:p>
    <w:p w14:paraId="17C2090B" w14:textId="77777777" w:rsidR="00237286" w:rsidRPr="00237286" w:rsidRDefault="00237286" w:rsidP="00237286">
      <w:pPr>
        <w:pStyle w:val="Zkladntext"/>
        <w:tabs>
          <w:tab w:val="clear" w:pos="7776"/>
          <w:tab w:val="left" w:pos="7560"/>
        </w:tabs>
        <w:spacing w:beforeLines="50" w:before="120"/>
        <w:ind w:left="361"/>
        <w:rPr>
          <w:rFonts w:ascii="Arial" w:hAnsi="Arial" w:cs="Arial"/>
          <w:i/>
          <w:strike/>
          <w:color w:val="00B050"/>
          <w:sz w:val="12"/>
          <w:szCs w:val="12"/>
        </w:rPr>
      </w:pPr>
      <w:r w:rsidRPr="00237286">
        <w:rPr>
          <w:rFonts w:ascii="Arial" w:hAnsi="Arial" w:cs="Arial"/>
          <w:sz w:val="20"/>
        </w:rPr>
        <w:t>c) vyhodnocení plnění rozpočtu poskytování SOHZ, který je přílohou žádosti příjemce o poskytnutí této vyrovnávací platby a přílohou č. 3 této smlouvy.</w:t>
      </w:r>
    </w:p>
    <w:p w14:paraId="09E1A3CC" w14:textId="77777777" w:rsidR="00E30234" w:rsidRDefault="00E30234" w:rsidP="00E30234">
      <w:pPr>
        <w:rPr>
          <w:rFonts w:ascii="Arial" w:hAnsi="Arial" w:cs="Arial"/>
          <w:sz w:val="20"/>
          <w:szCs w:val="20"/>
        </w:rPr>
      </w:pPr>
    </w:p>
    <w:p w14:paraId="30557BF3" w14:textId="4DB70C3A" w:rsidR="000E7AB3" w:rsidRPr="00D91FC6" w:rsidRDefault="000E7AB3" w:rsidP="00B8226C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D91FC6">
        <w:rPr>
          <w:rFonts w:ascii="Arial" w:hAnsi="Arial" w:cs="Arial"/>
          <w:b/>
          <w:sz w:val="20"/>
          <w:szCs w:val="20"/>
        </w:rPr>
        <w:t>Odst. 4.</w:t>
      </w:r>
      <w:r w:rsidR="00C1301D" w:rsidRPr="00D91FC6">
        <w:rPr>
          <w:rFonts w:ascii="Arial" w:hAnsi="Arial" w:cs="Arial"/>
          <w:b/>
          <w:sz w:val="20"/>
          <w:szCs w:val="20"/>
        </w:rPr>
        <w:t>2</w:t>
      </w:r>
      <w:r w:rsidRPr="00D91FC6">
        <w:rPr>
          <w:rFonts w:ascii="Arial" w:hAnsi="Arial" w:cs="Arial"/>
          <w:b/>
          <w:sz w:val="20"/>
          <w:szCs w:val="20"/>
        </w:rPr>
        <w:t xml:space="preserve"> se mění a nově zní:</w:t>
      </w:r>
    </w:p>
    <w:p w14:paraId="5A80E943" w14:textId="77777777" w:rsidR="000E7AB3" w:rsidRPr="00D91FC6" w:rsidRDefault="000E7AB3" w:rsidP="00D91FC6">
      <w:pPr>
        <w:pStyle w:val="Odstavecseseznamem"/>
        <w:rPr>
          <w:rFonts w:ascii="Arial" w:hAnsi="Arial" w:cs="Arial"/>
          <w:sz w:val="20"/>
          <w:szCs w:val="20"/>
        </w:rPr>
      </w:pPr>
    </w:p>
    <w:p w14:paraId="1E819894" w14:textId="26E2F27F" w:rsidR="000E7AB3" w:rsidRPr="00D91FC6" w:rsidRDefault="000E7AB3" w:rsidP="00D91FC6">
      <w:pPr>
        <w:pStyle w:val="Odstavecseseznamem"/>
        <w:numPr>
          <w:ilvl w:val="1"/>
          <w:numId w:val="13"/>
        </w:numPr>
        <w:tabs>
          <w:tab w:val="left" w:pos="8928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91FC6">
        <w:rPr>
          <w:rFonts w:ascii="Arial" w:hAnsi="Arial" w:cs="Arial"/>
          <w:b/>
          <w:sz w:val="20"/>
          <w:szCs w:val="20"/>
        </w:rPr>
        <w:t>Způsobilými náklady</w:t>
      </w:r>
      <w:r w:rsidRPr="00D91FC6">
        <w:rPr>
          <w:rFonts w:ascii="Arial" w:hAnsi="Arial" w:cs="Arial"/>
          <w:sz w:val="20"/>
          <w:szCs w:val="20"/>
        </w:rPr>
        <w:t xml:space="preserve"> jsou:</w:t>
      </w:r>
    </w:p>
    <w:p w14:paraId="6CC730D7" w14:textId="68260067" w:rsidR="000E7AB3" w:rsidRPr="00BC088F" w:rsidRDefault="000E7AB3" w:rsidP="000E7AB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F08AC">
        <w:rPr>
          <w:rFonts w:ascii="Arial" w:hAnsi="Arial" w:cs="Arial"/>
          <w:sz w:val="20"/>
          <w:szCs w:val="20"/>
        </w:rPr>
        <w:t xml:space="preserve">plnění, jež </w:t>
      </w:r>
      <w:r>
        <w:rPr>
          <w:rFonts w:ascii="Arial" w:hAnsi="Arial" w:cs="Arial"/>
          <w:sz w:val="20"/>
          <w:szCs w:val="20"/>
        </w:rPr>
        <w:t>souvisí</w:t>
      </w:r>
      <w:r w:rsidRPr="000F08AC">
        <w:rPr>
          <w:rFonts w:ascii="Arial" w:hAnsi="Arial" w:cs="Arial"/>
          <w:sz w:val="20"/>
          <w:szCs w:val="20"/>
        </w:rPr>
        <w:t xml:space="preserve"> s účelem, na který je </w:t>
      </w:r>
      <w:r w:rsidRPr="000F08AC">
        <w:rPr>
          <w:rFonts w:ascii="Arial" w:hAnsi="Arial" w:cs="Arial"/>
          <w:sz w:val="20"/>
        </w:rPr>
        <w:t>vyrovnávací platba</w:t>
      </w:r>
      <w:r w:rsidRPr="000F08AC">
        <w:rPr>
          <w:rFonts w:ascii="Arial" w:hAnsi="Arial" w:cs="Arial"/>
          <w:sz w:val="20"/>
          <w:szCs w:val="20"/>
        </w:rPr>
        <w:t xml:space="preserve"> poskytnuta </w:t>
      </w:r>
      <w:r>
        <w:rPr>
          <w:rFonts w:ascii="Arial" w:hAnsi="Arial" w:cs="Arial"/>
          <w:sz w:val="20"/>
          <w:szCs w:val="20"/>
        </w:rPr>
        <w:t>a vyhovuje</w:t>
      </w:r>
      <w:r w:rsidRPr="000F08AC">
        <w:rPr>
          <w:rFonts w:ascii="Arial" w:hAnsi="Arial" w:cs="Arial"/>
          <w:sz w:val="20"/>
          <w:szCs w:val="20"/>
        </w:rPr>
        <w:t xml:space="preserve"> zásadám účelnosti, efektivnosti a hospodárnosti podle zákona č. 320/2001 Sb., o finanční kontrole, ve znění pozdějších předpisů. Za způsobilé náklady jsou považovány veškeré přímé náklady </w:t>
      </w:r>
      <w:r w:rsidRPr="00991095">
        <w:rPr>
          <w:rFonts w:ascii="Arial" w:hAnsi="Arial" w:cs="Arial"/>
          <w:sz w:val="20"/>
          <w:szCs w:val="20"/>
        </w:rPr>
        <w:t xml:space="preserve">vynaložené při poskytování služby obecného hospodářského zájmu a odpovídající podíl nákladů společných službě obecného hospodářského zájmu a jiným činnostem příjemce. </w:t>
      </w:r>
      <w:r>
        <w:rPr>
          <w:rFonts w:ascii="Arial" w:hAnsi="Arial" w:cs="Arial"/>
          <w:sz w:val="20"/>
          <w:szCs w:val="20"/>
        </w:rPr>
        <w:t>N</w:t>
      </w:r>
      <w:r w:rsidRPr="00991095">
        <w:rPr>
          <w:rFonts w:ascii="Arial" w:hAnsi="Arial" w:cs="Arial"/>
          <w:sz w:val="20"/>
          <w:szCs w:val="20"/>
        </w:rPr>
        <w:t xml:space="preserve">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rozumí </w:t>
      </w:r>
      <w:r w:rsidRPr="007F317B">
        <w:rPr>
          <w:rFonts w:ascii="Arial" w:hAnsi="Arial" w:cs="Arial"/>
          <w:sz w:val="20"/>
          <w:szCs w:val="20"/>
        </w:rPr>
        <w:t>režijní náklady stanovené paušální sazbou ve výši max. 6</w:t>
      </w:r>
      <w:r w:rsidR="007B11ED">
        <w:rPr>
          <w:rFonts w:ascii="Arial" w:hAnsi="Arial" w:cs="Arial"/>
          <w:sz w:val="20"/>
          <w:szCs w:val="20"/>
        </w:rPr>
        <w:t xml:space="preserve"> </w:t>
      </w:r>
      <w:r w:rsidRPr="007F317B">
        <w:rPr>
          <w:rFonts w:ascii="Arial" w:hAnsi="Arial" w:cs="Arial"/>
          <w:sz w:val="20"/>
          <w:szCs w:val="20"/>
        </w:rPr>
        <w:t>% skutečně vynaložených přímých nákladů. Způsobilé náklady</w:t>
      </w:r>
      <w:r w:rsidRPr="007F317B">
        <w:rPr>
          <w:rFonts w:ascii="Arial" w:hAnsi="Arial" w:cs="Arial"/>
          <w:sz w:val="20"/>
        </w:rPr>
        <w:t xml:space="preserve"> musí být vynaloženy v době financování poskytování SOHZ uvedené v článku II. této smlouvy</w:t>
      </w:r>
      <w:r w:rsidRPr="00991095">
        <w:rPr>
          <w:rFonts w:ascii="Arial" w:hAnsi="Arial" w:cs="Arial"/>
          <w:sz w:val="20"/>
        </w:rPr>
        <w:t>.</w:t>
      </w:r>
      <w:r w:rsidRPr="00991095">
        <w:rPr>
          <w:rFonts w:ascii="Arial" w:hAnsi="Arial" w:cs="Arial"/>
          <w:sz w:val="20"/>
          <w:szCs w:val="20"/>
        </w:rPr>
        <w:t xml:space="preserve"> </w:t>
      </w:r>
    </w:p>
    <w:p w14:paraId="30A9A875" w14:textId="77777777" w:rsidR="000E7AB3" w:rsidRDefault="000E7AB3" w:rsidP="000E7AB3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0"/>
        </w:rPr>
      </w:pPr>
      <w:r w:rsidRPr="00D01ABC">
        <w:rPr>
          <w:rFonts w:ascii="Arial" w:hAnsi="Arial" w:cs="Arial"/>
          <w:sz w:val="20"/>
        </w:rPr>
        <w:t xml:space="preserve">pouze osobní náklady ve výši za 20 minut ošetření, celé materiálové náklady spojené s ošetřením pacienta a režie maximálně 120 Kč na pacienta v případě, že je služba držena zdravotnickým personálem (lékař, sestra), který </w:t>
      </w:r>
      <w:r>
        <w:rPr>
          <w:rFonts w:ascii="Arial" w:hAnsi="Arial" w:cs="Arial"/>
          <w:sz w:val="20"/>
        </w:rPr>
        <w:t>případně</w:t>
      </w:r>
      <w:r w:rsidRPr="00D01ABC">
        <w:rPr>
          <w:rFonts w:ascii="Arial" w:hAnsi="Arial" w:cs="Arial"/>
          <w:sz w:val="20"/>
        </w:rPr>
        <w:t xml:space="preserve"> současně zabezpečuje službu ústavní pohotovostní služby nebo urgentního příjmu.</w:t>
      </w:r>
    </w:p>
    <w:p w14:paraId="36F74771" w14:textId="2752BF65" w:rsidR="00880DDA" w:rsidRPr="00D91FC6" w:rsidRDefault="00740E6F" w:rsidP="00956D3E">
      <w:pPr>
        <w:pStyle w:val="Normlnweb"/>
        <w:numPr>
          <w:ilvl w:val="0"/>
          <w:numId w:val="12"/>
        </w:numPr>
        <w:jc w:val="both"/>
      </w:pPr>
      <w:r>
        <w:rPr>
          <w:rFonts w:ascii="Arial" w:hAnsi="Arial" w:cs="Arial"/>
          <w:sz w:val="20"/>
        </w:rPr>
        <w:t>p</w:t>
      </w:r>
      <w:r w:rsidR="00880DDA" w:rsidRPr="00D91FC6">
        <w:rPr>
          <w:rFonts w:ascii="Arial" w:hAnsi="Arial" w:cs="Arial"/>
          <w:sz w:val="20"/>
        </w:rPr>
        <w:t>ro službu definovanou v bodě 4</w:t>
      </w:r>
      <w:r w:rsidR="00956D3E">
        <w:rPr>
          <w:rFonts w:ascii="Arial" w:hAnsi="Arial" w:cs="Arial"/>
          <w:sz w:val="20"/>
        </w:rPr>
        <w:t>.</w:t>
      </w:r>
      <w:r w:rsidR="00880DDA" w:rsidRPr="00D91FC6">
        <w:rPr>
          <w:rFonts w:ascii="Arial" w:hAnsi="Arial" w:cs="Arial"/>
          <w:sz w:val="20"/>
        </w:rPr>
        <w:t xml:space="preserve"> Přílohy č. 1 Pověření platí v plném rozsahu obsahová náplň uvedená v tomto bodě pod písmenem a) s tím, že o</w:t>
      </w:r>
      <w:r w:rsidR="00880DDA" w:rsidRPr="00D91FC6">
        <w:rPr>
          <w:rFonts w:ascii="Arial" w:hAnsi="Arial" w:cs="Arial"/>
          <w:iCs/>
          <w:color w:val="000000"/>
          <w:sz w:val="20"/>
          <w:szCs w:val="20"/>
        </w:rPr>
        <w:t xml:space="preserve">sobní náklady NLZP </w:t>
      </w:r>
      <w:r w:rsidR="00647C6D" w:rsidRPr="00D91FC6">
        <w:rPr>
          <w:rFonts w:ascii="Arial" w:hAnsi="Arial" w:cs="Arial"/>
          <w:iCs/>
          <w:color w:val="000000"/>
          <w:sz w:val="20"/>
          <w:szCs w:val="20"/>
        </w:rPr>
        <w:t xml:space="preserve">(zdravotní sestra) </w:t>
      </w:r>
      <w:r w:rsidR="00880DDA" w:rsidRPr="00D91FC6">
        <w:rPr>
          <w:rFonts w:ascii="Arial" w:hAnsi="Arial" w:cs="Arial"/>
          <w:iCs/>
          <w:color w:val="000000"/>
          <w:sz w:val="20"/>
          <w:szCs w:val="20"/>
        </w:rPr>
        <w:t xml:space="preserve">a lékaře budou uznány v plném rozsahu </w:t>
      </w:r>
      <w:r w:rsidR="00647C6D" w:rsidRPr="00D91FC6">
        <w:rPr>
          <w:rFonts w:ascii="Arial" w:hAnsi="Arial" w:cs="Arial"/>
          <w:iCs/>
          <w:color w:val="000000"/>
          <w:sz w:val="20"/>
          <w:szCs w:val="20"/>
        </w:rPr>
        <w:t xml:space="preserve">dle </w:t>
      </w:r>
      <w:r w:rsidR="00880DDA" w:rsidRPr="00D91FC6">
        <w:rPr>
          <w:rFonts w:ascii="Arial" w:hAnsi="Arial" w:cs="Arial"/>
          <w:iCs/>
          <w:color w:val="000000"/>
          <w:sz w:val="20"/>
          <w:szCs w:val="20"/>
        </w:rPr>
        <w:t>smluvně stanovených ordinačních hodin, avšak s výjimkou lékaře v případě souběhu s ÚPS</w:t>
      </w:r>
      <w:r w:rsidR="00647C6D" w:rsidRPr="00D91FC6">
        <w:rPr>
          <w:rFonts w:ascii="Arial" w:hAnsi="Arial" w:cs="Arial"/>
          <w:iCs/>
          <w:color w:val="000000"/>
          <w:sz w:val="20"/>
          <w:szCs w:val="20"/>
        </w:rPr>
        <w:t>, kdy</w:t>
      </w:r>
      <w:r w:rsidR="00880DDA" w:rsidRPr="00D91FC6">
        <w:rPr>
          <w:rFonts w:ascii="Arial" w:hAnsi="Arial" w:cs="Arial"/>
          <w:iCs/>
          <w:color w:val="000000"/>
          <w:sz w:val="20"/>
          <w:szCs w:val="20"/>
        </w:rPr>
        <w:t xml:space="preserve"> budou osobní náklady </w:t>
      </w:r>
      <w:r w:rsidR="00647C6D" w:rsidRPr="00D91FC6">
        <w:rPr>
          <w:rFonts w:ascii="Arial" w:hAnsi="Arial" w:cs="Arial"/>
          <w:iCs/>
          <w:color w:val="000000"/>
          <w:sz w:val="20"/>
          <w:szCs w:val="20"/>
        </w:rPr>
        <w:t>lékaře zahrnuty ve výši 30 minut/1</w:t>
      </w:r>
      <w:r w:rsidR="00880DDA" w:rsidRPr="00D91FC6">
        <w:rPr>
          <w:rFonts w:ascii="Arial" w:hAnsi="Arial" w:cs="Arial"/>
          <w:iCs/>
          <w:color w:val="000000"/>
          <w:sz w:val="20"/>
          <w:szCs w:val="20"/>
        </w:rPr>
        <w:t xml:space="preserve"> ošetřený pacient.</w:t>
      </w:r>
    </w:p>
    <w:p w14:paraId="127F76E4" w14:textId="095F66DE" w:rsidR="00071223" w:rsidRPr="00D91FC6" w:rsidRDefault="00FC360B" w:rsidP="00B8226C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6353A1">
        <w:rPr>
          <w:rFonts w:ascii="Arial" w:hAnsi="Arial" w:cs="Arial"/>
          <w:b/>
          <w:sz w:val="20"/>
          <w:szCs w:val="20"/>
        </w:rPr>
        <w:lastRenderedPageBreak/>
        <w:t xml:space="preserve">Odst. </w:t>
      </w:r>
      <w:r w:rsidR="00071223" w:rsidRPr="00D91FC6">
        <w:rPr>
          <w:rFonts w:ascii="Arial" w:hAnsi="Arial" w:cs="Arial"/>
          <w:b/>
          <w:sz w:val="20"/>
          <w:szCs w:val="20"/>
        </w:rPr>
        <w:t xml:space="preserve"> 7.2 </w:t>
      </w:r>
      <w:r w:rsidRPr="00D91FC6">
        <w:rPr>
          <w:rFonts w:ascii="Arial" w:hAnsi="Arial" w:cs="Arial"/>
          <w:b/>
          <w:sz w:val="20"/>
          <w:szCs w:val="20"/>
        </w:rPr>
        <w:t xml:space="preserve">se mění </w:t>
      </w:r>
      <w:r w:rsidR="00071223" w:rsidRPr="00D91FC6">
        <w:rPr>
          <w:rFonts w:ascii="Arial" w:hAnsi="Arial" w:cs="Arial"/>
          <w:b/>
          <w:sz w:val="20"/>
          <w:szCs w:val="20"/>
        </w:rPr>
        <w:t>a nově zní:</w:t>
      </w:r>
    </w:p>
    <w:p w14:paraId="3F00BEA1" w14:textId="15D122BE" w:rsidR="00071223" w:rsidRPr="004A5E61" w:rsidRDefault="00740E6F" w:rsidP="00D91FC6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ind w:left="36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>
        <w:rPr>
          <w:rFonts w:ascii="Arial" w:hAnsi="Arial" w:cs="Arial"/>
          <w:b w:val="0"/>
          <w:sz w:val="20"/>
        </w:rPr>
        <w:t xml:space="preserve">7.2. </w:t>
      </w:r>
      <w:r w:rsidR="00071223" w:rsidRPr="004A5E61">
        <w:rPr>
          <w:rFonts w:ascii="Arial" w:hAnsi="Arial" w:cs="Arial"/>
          <w:b w:val="0"/>
          <w:sz w:val="20"/>
        </w:rPr>
        <w:t xml:space="preserve">Jako kontaktní místo poskytovatele se pro účely této smlouvy stanovuje: Krajský úřad Zlínského kraje, odbor zdravotnictví, </w:t>
      </w:r>
      <w:r w:rsidR="003E1E6E">
        <w:rPr>
          <w:rFonts w:ascii="Arial" w:hAnsi="Arial" w:cs="Arial"/>
          <w:b w:val="0"/>
          <w:sz w:val="20"/>
        </w:rPr>
        <w:t>Bc. Štěpán Odstrčilík</w:t>
      </w:r>
      <w:r w:rsidR="00071223" w:rsidRPr="00166270">
        <w:rPr>
          <w:rFonts w:ascii="Arial" w:hAnsi="Arial" w:cs="Arial"/>
          <w:b w:val="0"/>
          <w:sz w:val="20"/>
        </w:rPr>
        <w:t xml:space="preserve">, </w:t>
      </w:r>
      <w:r w:rsidR="00071223">
        <w:rPr>
          <w:rFonts w:ascii="Arial" w:hAnsi="Arial" w:cs="Arial"/>
          <w:b w:val="0"/>
          <w:sz w:val="20"/>
        </w:rPr>
        <w:t>tel.: 577 043 80</w:t>
      </w:r>
      <w:r w:rsidR="00473CB1">
        <w:rPr>
          <w:rFonts w:ascii="Arial" w:hAnsi="Arial" w:cs="Arial"/>
          <w:b w:val="0"/>
          <w:sz w:val="20"/>
        </w:rPr>
        <w:t>8</w:t>
      </w:r>
      <w:r w:rsidR="00071223">
        <w:rPr>
          <w:rFonts w:ascii="Arial" w:hAnsi="Arial" w:cs="Arial"/>
          <w:b w:val="0"/>
          <w:sz w:val="20"/>
        </w:rPr>
        <w:t xml:space="preserve">, e-mail: </w:t>
      </w:r>
      <w:r w:rsidR="00473CB1">
        <w:rPr>
          <w:rFonts w:ascii="Arial" w:hAnsi="Arial" w:cs="Arial"/>
          <w:b w:val="0"/>
          <w:sz w:val="20"/>
        </w:rPr>
        <w:t>stepan.odstrcilik</w:t>
      </w:r>
      <w:r w:rsidR="00071223" w:rsidRPr="00166270">
        <w:rPr>
          <w:rFonts w:ascii="Arial" w:hAnsi="Arial" w:cs="Arial"/>
          <w:b w:val="0"/>
          <w:sz w:val="20"/>
        </w:rPr>
        <w:t>@zlinsky</w:t>
      </w:r>
      <w:r w:rsidR="00071223">
        <w:rPr>
          <w:rFonts w:ascii="Arial" w:hAnsi="Arial" w:cs="Arial"/>
          <w:b w:val="0"/>
          <w:sz w:val="20"/>
        </w:rPr>
        <w:t>kraj</w:t>
      </w:r>
      <w:r w:rsidR="00071223" w:rsidRPr="00166270">
        <w:rPr>
          <w:rFonts w:ascii="Arial" w:hAnsi="Arial" w:cs="Arial"/>
          <w:b w:val="0"/>
          <w:sz w:val="20"/>
        </w:rPr>
        <w:t>.cz</w:t>
      </w:r>
      <w:r w:rsidR="00071223" w:rsidRPr="004A5E61">
        <w:rPr>
          <w:rFonts w:ascii="Arial" w:hAnsi="Arial" w:cs="Arial"/>
          <w:b w:val="0"/>
          <w:sz w:val="20"/>
        </w:rPr>
        <w:t>. Jako kontaktní místo příjemce se pro účely této smlouvy stanovuje: Kr</w:t>
      </w:r>
      <w:r w:rsidR="00071223">
        <w:rPr>
          <w:rFonts w:ascii="Arial" w:hAnsi="Arial" w:cs="Arial"/>
          <w:b w:val="0"/>
          <w:sz w:val="20"/>
        </w:rPr>
        <w:t>ajská nemocnice T. Bati, a. s.,</w:t>
      </w:r>
      <w:r w:rsidR="00071223" w:rsidRPr="004A5E61">
        <w:rPr>
          <w:rFonts w:ascii="Arial" w:hAnsi="Arial" w:cs="Arial"/>
          <w:b w:val="0"/>
          <w:sz w:val="20"/>
        </w:rPr>
        <w:t xml:space="preserve"> e-mail: </w:t>
      </w:r>
      <w:r w:rsidR="00071223">
        <w:rPr>
          <w:rFonts w:ascii="Arial" w:hAnsi="Arial" w:cs="Arial"/>
          <w:b w:val="0"/>
          <w:sz w:val="20"/>
        </w:rPr>
        <w:t>sekretariat</w:t>
      </w:r>
      <w:r w:rsidR="00071223" w:rsidRPr="004A5E61">
        <w:rPr>
          <w:rFonts w:ascii="Arial" w:hAnsi="Arial" w:cs="Arial"/>
          <w:b w:val="0"/>
          <w:sz w:val="20"/>
        </w:rPr>
        <w:t>@bnzlin.cz</w:t>
      </w:r>
      <w:r w:rsidR="00071223" w:rsidRPr="004A5E61">
        <w:rPr>
          <w:rFonts w:ascii="Arial" w:hAnsi="Arial" w:cs="Arial"/>
          <w:b w:val="0"/>
          <w:i/>
          <w:color w:val="7030A0"/>
          <w:sz w:val="16"/>
          <w:szCs w:val="16"/>
        </w:rPr>
        <w:t>.</w:t>
      </w:r>
    </w:p>
    <w:p w14:paraId="1A9DEA00" w14:textId="77777777" w:rsidR="00D11079" w:rsidRPr="00075154" w:rsidRDefault="00D11079" w:rsidP="00075154">
      <w:pPr>
        <w:pStyle w:val="Odstavecseseznamem"/>
        <w:rPr>
          <w:rFonts w:ascii="Arial" w:hAnsi="Arial" w:cs="Arial"/>
          <w:b/>
          <w:sz w:val="20"/>
        </w:rPr>
      </w:pPr>
    </w:p>
    <w:p w14:paraId="1B8DBD4A" w14:textId="3160E132" w:rsidR="00FC360B" w:rsidRDefault="00D91FC6" w:rsidP="00B8226C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Mění se Příloha č. 1 Smlouvy </w:t>
      </w:r>
      <w:r w:rsidR="003B0A0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Vymezení služeb obecného hospodářského zájmu</w:t>
      </w:r>
      <w:r w:rsidR="003B0A02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, r</w:t>
      </w:r>
      <w:r w:rsidR="00FC360B" w:rsidRPr="00075154">
        <w:rPr>
          <w:rFonts w:ascii="Arial" w:hAnsi="Arial" w:cs="Arial"/>
          <w:b/>
          <w:sz w:val="20"/>
        </w:rPr>
        <w:t xml:space="preserve">ozšiřuje se Příloha č. 2 Smlouvy o novou tabulku „Provoz střediska akutní </w:t>
      </w:r>
      <w:r w:rsidR="00C3640E">
        <w:rPr>
          <w:rFonts w:ascii="Arial" w:hAnsi="Arial" w:cs="Arial"/>
          <w:b/>
          <w:sz w:val="20"/>
        </w:rPr>
        <w:t>dětská příjmová</w:t>
      </w:r>
      <w:r w:rsidR="00FC360B" w:rsidRPr="00075154">
        <w:rPr>
          <w:rFonts w:ascii="Arial" w:hAnsi="Arial" w:cs="Arial"/>
          <w:b/>
          <w:sz w:val="20"/>
        </w:rPr>
        <w:t xml:space="preserve"> ambulance“</w:t>
      </w:r>
      <w:r>
        <w:rPr>
          <w:rFonts w:ascii="Arial" w:hAnsi="Arial" w:cs="Arial"/>
          <w:b/>
          <w:sz w:val="20"/>
        </w:rPr>
        <w:t xml:space="preserve"> a mění se Příloha č. 3 </w:t>
      </w:r>
      <w:r w:rsidR="003C1CAA">
        <w:rPr>
          <w:rFonts w:ascii="Arial" w:hAnsi="Arial" w:cs="Arial"/>
          <w:b/>
          <w:sz w:val="20"/>
        </w:rPr>
        <w:t xml:space="preserve">Smlouvy </w:t>
      </w:r>
      <w:r w:rsidR="003B0A02">
        <w:rPr>
          <w:rFonts w:ascii="Arial" w:hAnsi="Arial" w:cs="Arial"/>
          <w:b/>
          <w:sz w:val="20"/>
        </w:rPr>
        <w:t>„</w:t>
      </w:r>
      <w:r w:rsidR="003C1CAA">
        <w:rPr>
          <w:rFonts w:ascii="Arial" w:hAnsi="Arial" w:cs="Arial"/>
          <w:b/>
          <w:sz w:val="20"/>
        </w:rPr>
        <w:t>Ro</w:t>
      </w:r>
      <w:r>
        <w:rPr>
          <w:rFonts w:ascii="Arial" w:hAnsi="Arial" w:cs="Arial"/>
          <w:b/>
          <w:sz w:val="20"/>
        </w:rPr>
        <w:t>zpočet</w:t>
      </w:r>
      <w:r w:rsidR="003B0A02">
        <w:rPr>
          <w:rFonts w:ascii="Arial" w:hAnsi="Arial" w:cs="Arial"/>
          <w:b/>
          <w:sz w:val="20"/>
        </w:rPr>
        <w:t>“</w:t>
      </w:r>
      <w:r w:rsidR="00FC360B" w:rsidRPr="00075154">
        <w:rPr>
          <w:rFonts w:ascii="Arial" w:hAnsi="Arial" w:cs="Arial"/>
          <w:b/>
          <w:sz w:val="20"/>
        </w:rPr>
        <w:t>.</w:t>
      </w:r>
    </w:p>
    <w:p w14:paraId="40C6D9EB" w14:textId="74F42144" w:rsidR="006353A1" w:rsidRDefault="006353A1" w:rsidP="006353A1"/>
    <w:p w14:paraId="29EB80D1" w14:textId="77777777" w:rsidR="00FA444B" w:rsidRPr="00EA58AC" w:rsidRDefault="00FA444B" w:rsidP="00B8226C">
      <w:pPr>
        <w:pStyle w:val="Styl1"/>
        <w:numPr>
          <w:ilvl w:val="0"/>
          <w:numId w:val="16"/>
        </w:numPr>
        <w:jc w:val="left"/>
        <w:rPr>
          <w:snapToGrid w:val="0"/>
          <w:sz w:val="24"/>
        </w:rPr>
      </w:pPr>
      <w:r w:rsidRPr="00EA58AC">
        <w:rPr>
          <w:snapToGrid w:val="0"/>
          <w:sz w:val="24"/>
        </w:rPr>
        <w:t>Závěrečná ustanovení</w:t>
      </w:r>
    </w:p>
    <w:p w14:paraId="4AB9AB51" w14:textId="55DD475E" w:rsidR="00FA444B" w:rsidRPr="00EA58AC" w:rsidRDefault="00FA444B" w:rsidP="00FA444B">
      <w:pPr>
        <w:pStyle w:val="Styl2"/>
        <w:numPr>
          <w:ilvl w:val="1"/>
          <w:numId w:val="7"/>
        </w:numPr>
      </w:pPr>
      <w:r>
        <w:t xml:space="preserve">Ostatní ustanovení Smlouvy tímto </w:t>
      </w:r>
      <w:r w:rsidR="00740E6F">
        <w:t>D</w:t>
      </w:r>
      <w:r>
        <w:t>odatkem nedotčen</w:t>
      </w:r>
      <w:r w:rsidR="0034370E">
        <w:t>á</w:t>
      </w:r>
      <w:r>
        <w:t xml:space="preserve"> zůstávají v platnosti beze změny.</w:t>
      </w:r>
    </w:p>
    <w:p w14:paraId="4FEE10A6" w14:textId="21EA231D" w:rsidR="00FA444B" w:rsidRPr="00EA58AC" w:rsidRDefault="00FA444B" w:rsidP="00FA444B">
      <w:pPr>
        <w:pStyle w:val="Nadpis"/>
        <w:widowControl w:val="0"/>
        <w:numPr>
          <w:ilvl w:val="1"/>
          <w:numId w:val="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Tento </w:t>
      </w:r>
      <w:r w:rsidR="00740E6F">
        <w:rPr>
          <w:rFonts w:ascii="Arial" w:hAnsi="Arial" w:cs="Arial"/>
          <w:b w:val="0"/>
          <w:snapToGrid w:val="0"/>
          <w:sz w:val="20"/>
        </w:rPr>
        <w:t>D</w:t>
      </w:r>
      <w:r>
        <w:rPr>
          <w:rFonts w:ascii="Arial" w:hAnsi="Arial" w:cs="Arial"/>
          <w:b w:val="0"/>
          <w:snapToGrid w:val="0"/>
          <w:sz w:val="20"/>
        </w:rPr>
        <w:t>odatek S</w:t>
      </w:r>
      <w:r w:rsidRPr="00EA58AC">
        <w:rPr>
          <w:rFonts w:ascii="Arial" w:hAnsi="Arial" w:cs="Arial"/>
          <w:b w:val="0"/>
          <w:snapToGrid w:val="0"/>
          <w:sz w:val="20"/>
        </w:rPr>
        <w:t xml:space="preserve">mlouvy byl uzavřen </w:t>
      </w:r>
      <w:r>
        <w:rPr>
          <w:rFonts w:ascii="Arial" w:hAnsi="Arial" w:cs="Arial"/>
          <w:b w:val="0"/>
          <w:snapToGrid w:val="0"/>
          <w:sz w:val="20"/>
        </w:rPr>
        <w:t>na základě svobodné vůle, nebyl uzavřen</w:t>
      </w:r>
      <w:r w:rsidRPr="00EA58AC">
        <w:rPr>
          <w:rFonts w:ascii="Arial" w:hAnsi="Arial" w:cs="Arial"/>
          <w:b w:val="0"/>
          <w:snapToGrid w:val="0"/>
          <w:sz w:val="20"/>
        </w:rPr>
        <w:t xml:space="preserve"> v tísni za nápadně nevýhodných podmínek.</w:t>
      </w:r>
    </w:p>
    <w:p w14:paraId="7B01A26B" w14:textId="77777777" w:rsidR="00FA444B" w:rsidRPr="00EA58AC" w:rsidRDefault="00FA444B" w:rsidP="00FA444B">
      <w:pPr>
        <w:pStyle w:val="Nadpis"/>
        <w:widowControl w:val="0"/>
        <w:numPr>
          <w:ilvl w:val="1"/>
          <w:numId w:val="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sz w:val="20"/>
        </w:rPr>
        <w:t>Dodatek je vyhotoven digitálně.</w:t>
      </w:r>
    </w:p>
    <w:p w14:paraId="08C0D537" w14:textId="7AB57DA8" w:rsidR="00FA444B" w:rsidRPr="00EA58AC" w:rsidRDefault="00FA444B" w:rsidP="00FA444B">
      <w:pPr>
        <w:pStyle w:val="Nadpis"/>
        <w:widowControl w:val="0"/>
        <w:numPr>
          <w:ilvl w:val="1"/>
          <w:numId w:val="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Dodatek nabývá platnosti dnem podpisu oběma smluvními stranami a účinnosti dnem jeho zveřejnění v registru smluv.</w:t>
      </w:r>
    </w:p>
    <w:p w14:paraId="68C059A6" w14:textId="02D06194" w:rsidR="00FA444B" w:rsidRDefault="00FA444B" w:rsidP="00FA444B">
      <w:pPr>
        <w:pStyle w:val="Nadpis"/>
        <w:widowControl w:val="0"/>
        <w:numPr>
          <w:ilvl w:val="1"/>
          <w:numId w:val="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tohoto </w:t>
      </w:r>
      <w:r w:rsidR="00740E6F">
        <w:rPr>
          <w:rFonts w:ascii="Arial" w:hAnsi="Arial" w:cs="Arial"/>
          <w:b w:val="0"/>
          <w:snapToGrid w:val="0"/>
          <w:color w:val="000000" w:themeColor="text1"/>
          <w:sz w:val="20"/>
        </w:rPr>
        <w:t>D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odatku prostřednictvím registru smluv dle zákona č. 340/2015 Sb., o zvláštních podmínkách účinnosti některých smluv, uveřejňování těchto smluv a o registru smluv (zákon o registru smluv), provede poskytovatel, a to bez zbytečného odkladu, nejpozději do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30 dnů ode dne uzavření dodatku. O uveřejnění </w:t>
      </w:r>
      <w:r w:rsidR="00740E6F">
        <w:rPr>
          <w:rFonts w:ascii="Arial" w:hAnsi="Arial" w:cs="Arial"/>
          <w:b w:val="0"/>
          <w:snapToGrid w:val="0"/>
          <w:color w:val="000000" w:themeColor="text1"/>
          <w:sz w:val="20"/>
        </w:rPr>
        <w:t>D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>odatku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bude poskytovatel příjemce bezodkladně informovat. </w:t>
      </w:r>
    </w:p>
    <w:p w14:paraId="363C17C3" w14:textId="7B502E58" w:rsidR="000906C2" w:rsidRPr="003B0A02" w:rsidRDefault="003C1CAA" w:rsidP="004174BD">
      <w:pPr>
        <w:pStyle w:val="Nadpis"/>
        <w:widowControl w:val="0"/>
        <w:numPr>
          <w:ilvl w:val="1"/>
          <w:numId w:val="7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Nové Přílohy č. 1 a č. 3 Smlouvy </w:t>
      </w:r>
      <w:proofErr w:type="gramStart"/>
      <w:r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>tvoří</w:t>
      </w:r>
      <w:proofErr w:type="gramEnd"/>
      <w:r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nedílnou součást tohoto </w:t>
      </w:r>
      <w:r w:rsidR="00740E6F">
        <w:rPr>
          <w:rFonts w:ascii="Arial" w:hAnsi="Arial" w:cs="Arial"/>
          <w:b w:val="0"/>
          <w:snapToGrid w:val="0"/>
          <w:color w:val="000000" w:themeColor="text1"/>
          <w:sz w:val="20"/>
        </w:rPr>
        <w:t>D</w:t>
      </w:r>
      <w:r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>odatku č. 1.</w:t>
      </w:r>
      <w:r w:rsidR="00740E6F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  <w:r w:rsidR="000906C2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>Příloh</w:t>
      </w:r>
      <w:r w:rsidR="004174BD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>a</w:t>
      </w:r>
      <w:r w:rsidR="000906C2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č. 2 </w:t>
      </w:r>
      <w:r w:rsidR="004174BD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Smlouvy </w:t>
      </w:r>
      <w:r w:rsidR="000906C2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se rozšiřuje o nově přidanou </w:t>
      </w:r>
      <w:r w:rsidR="004174BD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tabulku s názvem </w:t>
      </w:r>
      <w:r w:rsidR="004174BD" w:rsidRPr="003B0A02">
        <w:rPr>
          <w:rFonts w:ascii="Arial" w:hAnsi="Arial" w:cs="Arial"/>
          <w:b w:val="0"/>
          <w:sz w:val="20"/>
        </w:rPr>
        <w:t>„</w:t>
      </w:r>
      <w:r w:rsidR="004174BD" w:rsidRPr="003B0A02">
        <w:rPr>
          <w:rFonts w:ascii="Arial" w:hAnsi="Arial" w:cs="Arial"/>
          <w:b w:val="0"/>
          <w:sz w:val="20"/>
          <w:szCs w:val="24"/>
        </w:rPr>
        <w:t>Provoz střediska akutní neodkladná dětská ambulance</w:t>
      </w:r>
      <w:r w:rsidR="004174BD" w:rsidRPr="003B0A02">
        <w:rPr>
          <w:rFonts w:ascii="Arial" w:hAnsi="Arial" w:cs="Arial"/>
          <w:b w:val="0"/>
          <w:sz w:val="20"/>
        </w:rPr>
        <w:t xml:space="preserve">“, která tvoří nedílnou součást tohoto Dodatku č. 1 a slouží pro vyúčtování  </w:t>
      </w:r>
      <w:r w:rsidR="004174BD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služby</w:t>
      </w:r>
      <w:r w:rsidR="000906C2" w:rsidRPr="003B0A02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akutní neodkladné dětské ambulance.</w:t>
      </w:r>
    </w:p>
    <w:p w14:paraId="3A68613E" w14:textId="77777777" w:rsidR="00FA444B" w:rsidRDefault="00FA444B" w:rsidP="00E30234"/>
    <w:p w14:paraId="03F576A5" w14:textId="77777777" w:rsidR="00E30234" w:rsidRPr="008A7F56" w:rsidRDefault="00E30234" w:rsidP="00E3023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AD54E56" w14:textId="77777777" w:rsidR="00E30234" w:rsidRPr="008A7F56" w:rsidRDefault="00E30234" w:rsidP="00E3023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>
        <w:rPr>
          <w:rFonts w:ascii="Arial" w:hAnsi="Arial" w:cs="Arial"/>
          <w:sz w:val="20"/>
          <w:szCs w:val="20"/>
        </w:rPr>
        <w:t>Zastupitelstvo Zlínského kraje</w:t>
      </w:r>
    </w:p>
    <w:p w14:paraId="642B347F" w14:textId="4F8423E5" w:rsidR="00E30234" w:rsidRPr="003051AF" w:rsidRDefault="00E30234" w:rsidP="00E3023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jednání a číslo usnesení:</w:t>
      </w:r>
      <w:r w:rsidR="00FE3857">
        <w:rPr>
          <w:rFonts w:ascii="Arial" w:hAnsi="Arial" w:cs="Arial"/>
          <w:sz w:val="20"/>
          <w:szCs w:val="20"/>
        </w:rPr>
        <w:t xml:space="preserve"> 17.06.2024; 0759/Z24/24</w:t>
      </w:r>
    </w:p>
    <w:p w14:paraId="390FD103" w14:textId="77777777" w:rsidR="00976BD8" w:rsidRDefault="00976BD8" w:rsidP="00976BD8">
      <w:pPr>
        <w:pStyle w:val="Bezmezer"/>
      </w:pPr>
    </w:p>
    <w:p w14:paraId="6889E4B2" w14:textId="59875D36" w:rsidR="00E30234" w:rsidRDefault="00E30234" w:rsidP="00976BD8">
      <w:pPr>
        <w:pStyle w:val="Bezmezer"/>
      </w:pPr>
      <w:r>
        <w:t>Zkontroloval:</w:t>
      </w:r>
    </w:p>
    <w:p w14:paraId="0D176479" w14:textId="77777777" w:rsidR="00E30234" w:rsidRPr="008A7F56" w:rsidRDefault="00E30234" w:rsidP="00E30234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Ve Zlíně dn</w:t>
      </w:r>
      <w:r w:rsidRPr="008A7F56">
        <w:rPr>
          <w:sz w:val="20"/>
          <w:szCs w:val="20"/>
        </w:rPr>
        <w:t xml:space="preserve">e .............................                          </w:t>
      </w:r>
      <w:r>
        <w:rPr>
          <w:sz w:val="20"/>
          <w:szCs w:val="20"/>
        </w:rPr>
        <w:t xml:space="preserve">                    Ve Zlíně</w:t>
      </w:r>
      <w:r w:rsidRPr="008A7F56">
        <w:rPr>
          <w:sz w:val="20"/>
          <w:szCs w:val="20"/>
        </w:rPr>
        <w:t xml:space="preserve"> dne ..........................</w:t>
      </w:r>
    </w:p>
    <w:p w14:paraId="55762755" w14:textId="77777777" w:rsidR="00E30234" w:rsidRPr="008A7F56" w:rsidRDefault="00E30234" w:rsidP="00E30234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30CFDC9E" w14:textId="77777777" w:rsidR="00E30234" w:rsidRDefault="00E30234" w:rsidP="00E30234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314F7317" w14:textId="77777777" w:rsidR="00E30234" w:rsidRDefault="00E30234" w:rsidP="00E30234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poskytovatele                                         </w:t>
      </w:r>
      <w:r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 příjemce</w:t>
      </w:r>
    </w:p>
    <w:p w14:paraId="4FFEFD17" w14:textId="77777777" w:rsidR="00E30234" w:rsidRPr="008A7F56" w:rsidRDefault="00E30234" w:rsidP="00E30234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04403CFE" w14:textId="77777777" w:rsidR="00E30234" w:rsidRPr="008A7F56" w:rsidRDefault="00E30234" w:rsidP="00E30234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F708363" w14:textId="77777777" w:rsidR="00E30234" w:rsidRPr="008A7F56" w:rsidRDefault="00E30234" w:rsidP="00E30234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0A6D3FC4" w14:textId="77777777" w:rsidR="00E30234" w:rsidRPr="008A7F56" w:rsidRDefault="00E30234" w:rsidP="00E30234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1C33EAAB" w14:textId="77777777" w:rsidR="00E30234" w:rsidRPr="0094051C" w:rsidRDefault="00E30234" w:rsidP="00E30234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Ing. Radim Holiš</w:t>
      </w:r>
      <w:r>
        <w:rPr>
          <w:rFonts w:ascii="Arial" w:hAnsi="Arial" w:cs="Arial"/>
          <w:sz w:val="20"/>
        </w:rPr>
        <w:tab/>
        <w:t>Ing. Jan Hrdý</w:t>
      </w:r>
    </w:p>
    <w:p w14:paraId="0EBE58E6" w14:textId="77777777" w:rsidR="00E30234" w:rsidRDefault="00E30234" w:rsidP="00E30234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sz w:val="20"/>
        </w:rPr>
        <w:t>předseda</w:t>
      </w:r>
      <w:r w:rsidRPr="0094051C">
        <w:rPr>
          <w:rFonts w:ascii="Arial" w:hAnsi="Arial" w:cs="Arial"/>
          <w:sz w:val="20"/>
        </w:rPr>
        <w:t xml:space="preserve"> představenstva</w:t>
      </w:r>
    </w:p>
    <w:p w14:paraId="37651A90" w14:textId="77777777" w:rsidR="00E30234" w:rsidRDefault="00E30234" w:rsidP="00E30234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1CFD3883" w14:textId="77777777" w:rsidR="00E30234" w:rsidRPr="0004095C" w:rsidRDefault="00E30234" w:rsidP="00E30234">
      <w:pPr>
        <w:spacing w:before="60"/>
        <w:ind w:left="25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i/>
          <w:color w:val="7030A0"/>
          <w:sz w:val="20"/>
        </w:rPr>
        <w:tab/>
        <w:t xml:space="preserve">     ………………………………………………..</w:t>
      </w:r>
    </w:p>
    <w:p w14:paraId="396DC3D8" w14:textId="77777777" w:rsidR="00E30234" w:rsidRPr="004A5E61" w:rsidRDefault="00E30234" w:rsidP="00E30234">
      <w:pPr>
        <w:spacing w:before="60"/>
        <w:ind w:left="5672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Martin Déva</w:t>
      </w:r>
    </w:p>
    <w:p w14:paraId="42FF0F88" w14:textId="77777777" w:rsidR="00E30234" w:rsidRDefault="00E30234" w:rsidP="00A76101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E61">
        <w:rPr>
          <w:rFonts w:ascii="Arial" w:hAnsi="Arial" w:cs="Arial"/>
          <w:sz w:val="20"/>
          <w:szCs w:val="20"/>
        </w:rPr>
        <w:t>člen představenstva</w:t>
      </w:r>
    </w:p>
    <w:p w14:paraId="485AFAC5" w14:textId="77777777" w:rsidR="00631BBB" w:rsidRDefault="00631BBB" w:rsidP="00473DEE">
      <w:pPr>
        <w:pStyle w:val="Nadpis1"/>
        <w:keepNext w:val="0"/>
        <w:widowControl w:val="0"/>
        <w:rPr>
          <w:rFonts w:ascii="Arial" w:hAnsi="Arial" w:cs="Arial"/>
          <w:b/>
          <w:color w:val="auto"/>
          <w:sz w:val="20"/>
        </w:rPr>
      </w:pPr>
    </w:p>
    <w:p w14:paraId="488E1AA0" w14:textId="05206F50" w:rsidR="002C432D" w:rsidRPr="004F157D" w:rsidRDefault="002C432D" w:rsidP="00473DEE">
      <w:pPr>
        <w:pStyle w:val="Nadpis1"/>
        <w:keepNext w:val="0"/>
        <w:widowControl w:val="0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0EA0351C" w14:textId="77777777" w:rsidR="002C432D" w:rsidRPr="004F157D" w:rsidRDefault="002C432D" w:rsidP="002C432D"/>
    <w:p w14:paraId="33222380" w14:textId="77777777" w:rsidR="002C432D" w:rsidRDefault="002C432D" w:rsidP="002C432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Příjemce vyrovnávací platby</w:t>
      </w:r>
    </w:p>
    <w:p w14:paraId="3FB8C569" w14:textId="77777777" w:rsidR="002C432D" w:rsidRDefault="002C432D" w:rsidP="002C432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2E7A13CE" w14:textId="77777777" w:rsidR="002C432D" w:rsidRDefault="002C432D" w:rsidP="002C432D">
      <w:pPr>
        <w:spacing w:before="60"/>
        <w:rPr>
          <w:rFonts w:ascii="Arial" w:hAnsi="Arial" w:cs="Arial"/>
          <w:b/>
          <w:sz w:val="20"/>
          <w:szCs w:val="20"/>
        </w:rPr>
      </w:pPr>
      <w:r w:rsidRPr="00B61A54">
        <w:rPr>
          <w:rFonts w:ascii="Arial" w:hAnsi="Arial" w:cs="Arial"/>
          <w:b/>
          <w:sz w:val="20"/>
          <w:szCs w:val="20"/>
        </w:rPr>
        <w:t>Krajská nemocnice T. Bati, a. s.</w:t>
      </w:r>
    </w:p>
    <w:p w14:paraId="1C568454" w14:textId="77777777" w:rsidR="002C432D" w:rsidRDefault="002C432D" w:rsidP="002C432D">
      <w:pPr>
        <w:spacing w:before="60"/>
        <w:rPr>
          <w:rFonts w:ascii="Arial" w:hAnsi="Arial" w:cs="Arial"/>
          <w:sz w:val="20"/>
          <w:szCs w:val="20"/>
        </w:rPr>
      </w:pPr>
      <w:r w:rsidRPr="00F41714">
        <w:rPr>
          <w:rFonts w:ascii="Arial" w:hAnsi="Arial" w:cs="Arial"/>
          <w:sz w:val="20"/>
          <w:szCs w:val="20"/>
        </w:rPr>
        <w:t>se sídlem Zlín, Havlíčkovo nábřeží 600, PSČ 762 75</w:t>
      </w:r>
    </w:p>
    <w:p w14:paraId="3E1F50B9" w14:textId="77777777" w:rsidR="002C432D" w:rsidRPr="008A7F56" w:rsidRDefault="002C432D" w:rsidP="002C432D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O: 27661989</w:t>
      </w:r>
    </w:p>
    <w:p w14:paraId="5268AA9D" w14:textId="77777777" w:rsidR="002C432D" w:rsidRPr="008E4EE9" w:rsidRDefault="002C432D" w:rsidP="002C432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46627F9" w14:textId="77777777" w:rsidR="002C432D" w:rsidRDefault="002C432D" w:rsidP="002C432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183441" w14:textId="77777777" w:rsidR="002C432D" w:rsidRPr="00545582" w:rsidRDefault="002C432D" w:rsidP="002C432D">
      <w:pPr>
        <w:spacing w:line="276" w:lineRule="auto"/>
        <w:rPr>
          <w:rFonts w:ascii="Arial" w:hAnsi="Arial" w:cs="Arial"/>
          <w:sz w:val="20"/>
          <w:szCs w:val="20"/>
        </w:rPr>
      </w:pPr>
    </w:p>
    <w:p w14:paraId="71996F50" w14:textId="77777777" w:rsidR="002C432D" w:rsidRDefault="002C432D" w:rsidP="002C432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265037C4" w14:textId="77777777" w:rsidR="002C432D" w:rsidRPr="004F157D" w:rsidRDefault="002C432D" w:rsidP="002C432D">
      <w:pPr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tbl>
      <w:tblPr>
        <w:tblStyle w:val="Mkatabulky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4252"/>
        <w:gridCol w:w="1985"/>
        <w:gridCol w:w="1842"/>
      </w:tblGrid>
      <w:tr w:rsidR="002C432D" w14:paraId="04CD917D" w14:textId="77777777" w:rsidTr="00D91FC6">
        <w:tc>
          <w:tcPr>
            <w:tcW w:w="1271" w:type="dxa"/>
          </w:tcPr>
          <w:p w14:paraId="6E781CA9" w14:textId="77777777" w:rsidR="002C432D" w:rsidRDefault="002C432D" w:rsidP="002D58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10F08405" w14:textId="77777777" w:rsidR="002C432D" w:rsidRDefault="002C432D" w:rsidP="002D58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76057AC5" w14:textId="77777777" w:rsidR="002C432D" w:rsidRDefault="002C432D" w:rsidP="002D58E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4B43D84B" w14:textId="77777777" w:rsidR="002C432D" w:rsidRPr="006E321E" w:rsidRDefault="002C432D" w:rsidP="002D58E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2C432D" w14:paraId="20EA51C1" w14:textId="77777777" w:rsidTr="00D91FC6">
        <w:tc>
          <w:tcPr>
            <w:tcW w:w="1271" w:type="dxa"/>
          </w:tcPr>
          <w:p w14:paraId="5D530C86" w14:textId="77777777" w:rsidR="002C432D" w:rsidRDefault="002C432D" w:rsidP="002D58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LPS</w:t>
            </w:r>
          </w:p>
        </w:tc>
        <w:tc>
          <w:tcPr>
            <w:tcW w:w="4252" w:type="dxa"/>
          </w:tcPr>
          <w:p w14:paraId="56145FA6" w14:textId="77777777" w:rsidR="002C432D" w:rsidRPr="00074777" w:rsidRDefault="002C432D" w:rsidP="002D58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66A63D84" w14:textId="77777777" w:rsidR="002C432D" w:rsidRDefault="002C432D" w:rsidP="002D58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nebo zhoršení průběhu onemocnění.</w:t>
            </w:r>
          </w:p>
        </w:tc>
        <w:tc>
          <w:tcPr>
            <w:tcW w:w="1985" w:type="dxa"/>
          </w:tcPr>
          <w:p w14:paraId="1292E578" w14:textId="77777777" w:rsidR="002C432D" w:rsidRDefault="002C432D" w:rsidP="002D58E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Dle Pověření</w:t>
            </w:r>
          </w:p>
          <w:p w14:paraId="2879F161" w14:textId="77777777" w:rsidR="002C432D" w:rsidRDefault="002C432D" w:rsidP="002D58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2DE656" w14:textId="676C45D4" w:rsidR="002C432D" w:rsidRPr="008E4EE9" w:rsidRDefault="002C432D" w:rsidP="002C432D">
            <w:pPr>
              <w:pStyle w:val="Odstavecseseznamem"/>
              <w:numPr>
                <w:ilvl w:val="1"/>
                <w:numId w:val="10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- 31.12.202</w:t>
            </w:r>
            <w:r w:rsidR="0007088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2C432D" w14:paraId="361BA4EF" w14:textId="77777777" w:rsidTr="00D91FC6">
        <w:tc>
          <w:tcPr>
            <w:tcW w:w="1271" w:type="dxa"/>
          </w:tcPr>
          <w:p w14:paraId="584F0ACA" w14:textId="60461A9C" w:rsidR="002C432D" w:rsidRDefault="001D43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Akutní dětská </w:t>
            </w:r>
            <w:r w:rsidR="000C32C2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příjmová</w:t>
            </w:r>
            <w:r w:rsidR="003B0A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mbulance</w:t>
            </w:r>
          </w:p>
        </w:tc>
        <w:tc>
          <w:tcPr>
            <w:tcW w:w="4252" w:type="dxa"/>
          </w:tcPr>
          <w:p w14:paraId="6B5DD1A1" w14:textId="77777777" w:rsidR="001D4335" w:rsidRPr="00074777" w:rsidRDefault="001D4335" w:rsidP="001D43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mbulantní péče poskytovaná pacientům </w:t>
            </w:r>
          </w:p>
          <w:p w14:paraId="093FFD0F" w14:textId="77777777" w:rsidR="002C432D" w:rsidRDefault="001D4335" w:rsidP="001D433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777">
              <w:rPr>
                <w:rFonts w:ascii="Arial" w:hAnsi="Arial" w:cs="Arial"/>
                <w:color w:val="000000" w:themeColor="text1"/>
                <w:sz w:val="20"/>
                <w:szCs w:val="20"/>
              </w:rPr>
              <w:t>v případech náhlé změny zdravotního stavu 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ebo zhoršení průběhu onemocnění mimo rozsah ordinačních hodin LPS pro děti a dorost</w:t>
            </w:r>
          </w:p>
        </w:tc>
        <w:tc>
          <w:tcPr>
            <w:tcW w:w="1985" w:type="dxa"/>
          </w:tcPr>
          <w:p w14:paraId="76DBEDC1" w14:textId="35190358" w:rsidR="002C432D" w:rsidRDefault="001D4335" w:rsidP="002D58E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Dodatku č. </w:t>
            </w:r>
            <w:r w:rsidR="0013360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Pověření – bod 4</w:t>
            </w:r>
          </w:p>
        </w:tc>
        <w:tc>
          <w:tcPr>
            <w:tcW w:w="1842" w:type="dxa"/>
          </w:tcPr>
          <w:p w14:paraId="6E3D05FD" w14:textId="18CC243C" w:rsidR="002C432D" w:rsidRPr="00EE2075" w:rsidRDefault="00EE2075" w:rsidP="00EE207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1.1.</w:t>
            </w:r>
            <w:r w:rsidR="001D4335" w:rsidRPr="00EE2075">
              <w:rPr>
                <w:rFonts w:ascii="Arial" w:hAnsi="Arial" w:cs="Arial"/>
                <w:color w:val="000000" w:themeColor="text1"/>
                <w:sz w:val="20"/>
                <w:szCs w:val="20"/>
              </w:rPr>
              <w:t>– 31.12.202</w:t>
            </w:r>
            <w:r w:rsidR="00070885" w:rsidRPr="00EE207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5D933F90" w14:textId="77777777" w:rsidR="002C432D" w:rsidRDefault="002C432D" w:rsidP="002C432D">
      <w:pPr>
        <w:rPr>
          <w:rFonts w:ascii="Arial" w:hAnsi="Arial" w:cs="Arial"/>
          <w:i/>
          <w:color w:val="2E74B5" w:themeColor="accent1" w:themeShade="BF"/>
          <w:sz w:val="20"/>
          <w:szCs w:val="20"/>
        </w:rPr>
      </w:pPr>
    </w:p>
    <w:p w14:paraId="74FA4FE0" w14:textId="77777777" w:rsidR="002C432D" w:rsidRPr="005E4367" w:rsidRDefault="002C432D" w:rsidP="002C432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41D7390A" w14:textId="77777777" w:rsidR="002C432D" w:rsidRDefault="002C432D" w:rsidP="002C432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LPS</w:t>
      </w:r>
      <w:r w:rsidRPr="005E4367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lékařská pohotovostní služba</w:t>
      </w:r>
    </w:p>
    <w:p w14:paraId="78B4076D" w14:textId="77777777" w:rsidR="002C432D" w:rsidRDefault="002C432D" w:rsidP="002C432D">
      <w:pPr>
        <w:rPr>
          <w:rFonts w:ascii="Arial" w:hAnsi="Arial" w:cs="Arial"/>
          <w:i/>
          <w:sz w:val="20"/>
          <w:szCs w:val="20"/>
        </w:rPr>
      </w:pPr>
    </w:p>
    <w:p w14:paraId="2D8DD5C9" w14:textId="77777777" w:rsidR="002C432D" w:rsidRDefault="001D4335" w:rsidP="002C432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54F5D28" w14:textId="77777777" w:rsidR="00C205DE" w:rsidRDefault="00C205DE" w:rsidP="002C432D">
      <w:pPr>
        <w:rPr>
          <w:rFonts w:ascii="Arial" w:hAnsi="Arial" w:cs="Arial"/>
          <w:i/>
          <w:sz w:val="20"/>
          <w:szCs w:val="20"/>
        </w:rPr>
      </w:pPr>
    </w:p>
    <w:p w14:paraId="40B598E7" w14:textId="77777777" w:rsidR="00C205DE" w:rsidRDefault="00C205DE" w:rsidP="002C432D">
      <w:pPr>
        <w:rPr>
          <w:rFonts w:ascii="Arial" w:hAnsi="Arial" w:cs="Arial"/>
          <w:i/>
          <w:sz w:val="20"/>
          <w:szCs w:val="20"/>
        </w:rPr>
      </w:pPr>
    </w:p>
    <w:p w14:paraId="5AC41D02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454D3D1F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7E216606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4AAD9B85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4671CAD1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0E25EB75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620ED706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59AB29E9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71FFA043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7835AF39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39B00734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7980E033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2D25F08B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7743A787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149BAD54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65ECA7C5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1C083A32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4DD4A78F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4045E540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3145B12B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0001000B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4F963A25" w14:textId="77777777" w:rsidR="00473DEE" w:rsidRDefault="00473DEE" w:rsidP="002C432D">
      <w:pPr>
        <w:rPr>
          <w:rFonts w:ascii="Arial" w:hAnsi="Arial" w:cs="Arial"/>
          <w:i/>
          <w:sz w:val="20"/>
          <w:szCs w:val="20"/>
        </w:rPr>
      </w:pPr>
    </w:p>
    <w:p w14:paraId="11B7B9CD" w14:textId="77777777" w:rsidR="00C205DE" w:rsidRDefault="00C205DE" w:rsidP="002C432D">
      <w:pPr>
        <w:rPr>
          <w:rFonts w:ascii="Arial" w:hAnsi="Arial" w:cs="Arial"/>
          <w:i/>
          <w:sz w:val="20"/>
          <w:szCs w:val="20"/>
        </w:rPr>
      </w:pPr>
    </w:p>
    <w:p w14:paraId="505FA5D1" w14:textId="77777777" w:rsidR="00C205DE" w:rsidRDefault="00C205DE" w:rsidP="002C432D">
      <w:pPr>
        <w:rPr>
          <w:rFonts w:ascii="Arial" w:hAnsi="Arial" w:cs="Arial"/>
          <w:i/>
          <w:sz w:val="20"/>
          <w:szCs w:val="20"/>
        </w:rPr>
      </w:pPr>
    </w:p>
    <w:p w14:paraId="0069338C" w14:textId="77777777" w:rsidR="00C205DE" w:rsidRDefault="00C205DE" w:rsidP="002C432D">
      <w:pPr>
        <w:rPr>
          <w:rFonts w:ascii="Arial" w:hAnsi="Arial" w:cs="Arial"/>
          <w:i/>
          <w:sz w:val="20"/>
          <w:szCs w:val="20"/>
        </w:rPr>
      </w:pPr>
    </w:p>
    <w:p w14:paraId="56C07ACE" w14:textId="70EDF965" w:rsidR="00473EFB" w:rsidRDefault="00473EFB" w:rsidP="002C432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Příloha č. 2 –</w:t>
      </w:r>
      <w:r w:rsidR="00976BD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doplnění nové </w:t>
      </w:r>
      <w:r w:rsidR="0098529F">
        <w:rPr>
          <w:rFonts w:ascii="Arial" w:hAnsi="Arial" w:cs="Arial"/>
          <w:i/>
          <w:sz w:val="20"/>
          <w:szCs w:val="20"/>
        </w:rPr>
        <w:t>tabulky</w:t>
      </w:r>
    </w:p>
    <w:p w14:paraId="26C86515" w14:textId="20E9E649" w:rsidR="00473EFB" w:rsidRDefault="00631BBB" w:rsidP="002C432D">
      <w:pPr>
        <w:rPr>
          <w:rFonts w:ascii="Arial" w:hAnsi="Arial" w:cs="Arial"/>
          <w:i/>
          <w:sz w:val="20"/>
          <w:szCs w:val="20"/>
        </w:rPr>
      </w:pPr>
      <w:r w:rsidRPr="00631BBB">
        <w:rPr>
          <w:noProof/>
        </w:rPr>
        <w:drawing>
          <wp:inline distT="0" distB="0" distL="0" distR="0" wp14:anchorId="01F513AC" wp14:editId="1BB4CB22">
            <wp:extent cx="8545306" cy="4620972"/>
            <wp:effectExtent l="0" t="0" r="8255" b="8255"/>
            <wp:docPr id="15765811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0768" cy="46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0C27" w14:textId="77777777" w:rsidR="00631BBB" w:rsidRDefault="00631BBB" w:rsidP="002C432D">
      <w:pPr>
        <w:rPr>
          <w:rFonts w:ascii="Arial" w:hAnsi="Arial" w:cs="Arial"/>
          <w:i/>
          <w:sz w:val="20"/>
          <w:szCs w:val="20"/>
        </w:rPr>
      </w:pPr>
    </w:p>
    <w:p w14:paraId="48F32061" w14:textId="77777777" w:rsidR="00C205DE" w:rsidRDefault="00C205DE" w:rsidP="002C432D">
      <w:pPr>
        <w:rPr>
          <w:rFonts w:ascii="Arial" w:hAnsi="Arial" w:cs="Arial"/>
          <w:sz w:val="20"/>
          <w:szCs w:val="20"/>
        </w:rPr>
      </w:pPr>
      <w:r w:rsidRPr="00D91FC6">
        <w:rPr>
          <w:rFonts w:ascii="Arial" w:hAnsi="Arial" w:cs="Arial"/>
          <w:sz w:val="20"/>
          <w:szCs w:val="20"/>
        </w:rPr>
        <w:lastRenderedPageBreak/>
        <w:t>Příloha č. 3 - Rozpočet</w:t>
      </w:r>
    </w:p>
    <w:p w14:paraId="322DFAFC" w14:textId="77777777" w:rsidR="00C205DE" w:rsidRDefault="00C205DE" w:rsidP="002C432D">
      <w:pPr>
        <w:rPr>
          <w:rFonts w:ascii="Arial" w:hAnsi="Arial" w:cs="Arial"/>
          <w:sz w:val="20"/>
          <w:szCs w:val="20"/>
        </w:rPr>
      </w:pPr>
    </w:p>
    <w:p w14:paraId="290275E8" w14:textId="77777777" w:rsidR="00C205DE" w:rsidRDefault="00C205DE" w:rsidP="002C432D">
      <w:pPr>
        <w:rPr>
          <w:rFonts w:ascii="Arial" w:hAnsi="Arial" w:cs="Arial"/>
          <w:sz w:val="20"/>
          <w:szCs w:val="20"/>
        </w:rPr>
      </w:pPr>
    </w:p>
    <w:p w14:paraId="5E720F62" w14:textId="77777777" w:rsidR="00C205DE" w:rsidRPr="00D91FC6" w:rsidRDefault="00C205DE" w:rsidP="002C432D">
      <w:pPr>
        <w:rPr>
          <w:rFonts w:ascii="Arial" w:hAnsi="Arial" w:cs="Arial"/>
          <w:b/>
          <w:sz w:val="20"/>
          <w:szCs w:val="20"/>
        </w:rPr>
      </w:pPr>
      <w:r w:rsidRPr="00D91FC6">
        <w:rPr>
          <w:rFonts w:ascii="Arial" w:hAnsi="Arial" w:cs="Arial"/>
          <w:b/>
          <w:sz w:val="20"/>
          <w:szCs w:val="20"/>
        </w:rPr>
        <w:t>Předpokládaný rozpočet na zajištění provozu LPS a akutní neodkladné dětské ambulance</w:t>
      </w:r>
    </w:p>
    <w:p w14:paraId="48F91B87" w14:textId="64548ACC" w:rsidR="002C432D" w:rsidRDefault="002C432D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</w:p>
    <w:p w14:paraId="0391EE22" w14:textId="77777777" w:rsidR="008423A7" w:rsidRDefault="008423A7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</w:p>
    <w:p w14:paraId="29B73C80" w14:textId="53D4B783" w:rsidR="00146089" w:rsidRDefault="007E7C64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  <w:r w:rsidRPr="007E7C64"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 wp14:anchorId="2290FDA0" wp14:editId="7CE483EC">
            <wp:extent cx="5904230" cy="3651885"/>
            <wp:effectExtent l="0" t="0" r="1270" b="5715"/>
            <wp:docPr id="1920694608" name="Obrázek 1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94608" name="Obrázek 1" descr="Obsah obrázku text, snímek obrazovky, číslo, Paralelní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DC0F" w14:textId="77777777" w:rsidR="00146089" w:rsidRDefault="00146089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</w:p>
    <w:p w14:paraId="11A71A14" w14:textId="77777777" w:rsidR="00146089" w:rsidRDefault="00146089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</w:p>
    <w:p w14:paraId="0DAD7764" w14:textId="77777777" w:rsidR="00146089" w:rsidRDefault="00146089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</w:p>
    <w:p w14:paraId="3F98EF73" w14:textId="1E27F0D4" w:rsidR="00146089" w:rsidRPr="002D58E8" w:rsidRDefault="00146089" w:rsidP="00146089">
      <w:pPr>
        <w:pStyle w:val="Bezmezer"/>
        <w:rPr>
          <w:b/>
        </w:rPr>
      </w:pPr>
      <w:r w:rsidRPr="002D58E8">
        <w:rPr>
          <w:b/>
        </w:rPr>
        <w:t xml:space="preserve">Počet hodin poskytované služby pro období od </w:t>
      </w:r>
      <w:proofErr w:type="gramStart"/>
      <w:r w:rsidRPr="002D58E8">
        <w:rPr>
          <w:b/>
        </w:rPr>
        <w:t>1.</w:t>
      </w:r>
      <w:r>
        <w:rPr>
          <w:b/>
        </w:rPr>
        <w:t>1</w:t>
      </w:r>
      <w:r w:rsidRPr="002D58E8">
        <w:rPr>
          <w:b/>
        </w:rPr>
        <w:t>.202</w:t>
      </w:r>
      <w:r>
        <w:rPr>
          <w:b/>
        </w:rPr>
        <w:t>4</w:t>
      </w:r>
      <w:r w:rsidRPr="002D58E8">
        <w:rPr>
          <w:b/>
        </w:rPr>
        <w:t xml:space="preserve"> :</w:t>
      </w:r>
      <w:proofErr w:type="gramEnd"/>
    </w:p>
    <w:p w14:paraId="6926F175" w14:textId="77777777" w:rsidR="00146089" w:rsidRPr="00C205DE" w:rsidRDefault="00146089" w:rsidP="00146089">
      <w:pPr>
        <w:pStyle w:val="Bezmezer"/>
      </w:pPr>
      <w:r w:rsidRPr="00C205DE">
        <w:t xml:space="preserve">LPS pro děti a dorost </w:t>
      </w:r>
      <w:r w:rsidRPr="00C205DE">
        <w:tab/>
        <w:t xml:space="preserve">po-pá </w:t>
      </w:r>
      <w:r w:rsidRPr="00C205DE">
        <w:tab/>
      </w:r>
      <w:r w:rsidRPr="00C205DE">
        <w:tab/>
      </w:r>
      <w:r>
        <w:t>5</w:t>
      </w:r>
      <w:r w:rsidRPr="00C205DE">
        <w:t xml:space="preserve"> hodin (17:00 – </w:t>
      </w:r>
      <w:r>
        <w:t>22</w:t>
      </w:r>
      <w:r w:rsidRPr="00C205DE">
        <w:t>:00)</w:t>
      </w:r>
    </w:p>
    <w:p w14:paraId="1609F7D0" w14:textId="77777777" w:rsidR="00146089" w:rsidRPr="002D58E8" w:rsidRDefault="00146089" w:rsidP="00146089">
      <w:pPr>
        <w:pStyle w:val="Bezmezer"/>
      </w:pPr>
      <w:r w:rsidRPr="002D58E8">
        <w:tab/>
      </w:r>
      <w:r w:rsidRPr="002D58E8">
        <w:tab/>
      </w:r>
      <w:r w:rsidRPr="002D58E8">
        <w:tab/>
        <w:t>so, ne, svátky</w:t>
      </w:r>
      <w:r w:rsidRPr="002D58E8">
        <w:tab/>
      </w:r>
      <w:r>
        <w:t>1</w:t>
      </w:r>
      <w:r w:rsidRPr="002D58E8">
        <w:t>2 hodin (</w:t>
      </w:r>
      <w:r>
        <w:t>8</w:t>
      </w:r>
      <w:r w:rsidRPr="002D58E8">
        <w:t xml:space="preserve">:00 – </w:t>
      </w:r>
      <w:r>
        <w:t>20</w:t>
      </w:r>
      <w:r w:rsidRPr="002D58E8">
        <w:t>:00)</w:t>
      </w:r>
    </w:p>
    <w:p w14:paraId="1774A608" w14:textId="77777777" w:rsidR="00146089" w:rsidRPr="002D58E8" w:rsidRDefault="00146089" w:rsidP="00146089">
      <w:pPr>
        <w:pStyle w:val="Bezmezer"/>
      </w:pPr>
      <w:r w:rsidRPr="002D58E8">
        <w:t xml:space="preserve">LPS stomatologická </w:t>
      </w:r>
      <w:r w:rsidRPr="002D58E8">
        <w:tab/>
        <w:t>po-pá</w:t>
      </w:r>
      <w:r w:rsidRPr="002D58E8">
        <w:tab/>
      </w:r>
      <w:r w:rsidRPr="002D58E8">
        <w:tab/>
        <w:t>0 hodin</w:t>
      </w:r>
      <w:r w:rsidRPr="002D58E8">
        <w:tab/>
      </w:r>
    </w:p>
    <w:p w14:paraId="71122E9C" w14:textId="0658B47B" w:rsidR="00146089" w:rsidRPr="002D58E8" w:rsidRDefault="00146089" w:rsidP="00146089">
      <w:pPr>
        <w:pStyle w:val="Bezmezer"/>
      </w:pPr>
      <w:r w:rsidRPr="002D58E8">
        <w:tab/>
      </w:r>
      <w:r w:rsidRPr="002D58E8">
        <w:tab/>
      </w:r>
      <w:r w:rsidRPr="002D58E8">
        <w:tab/>
        <w:t>so, ne, svátky</w:t>
      </w:r>
      <w:r w:rsidRPr="002D58E8">
        <w:tab/>
      </w:r>
      <w:r w:rsidR="0098529F">
        <w:t>5</w:t>
      </w:r>
      <w:r w:rsidRPr="002D58E8">
        <w:t xml:space="preserve"> hodin (</w:t>
      </w:r>
      <w:r w:rsidR="0098529F">
        <w:t>8</w:t>
      </w:r>
      <w:r w:rsidRPr="002D58E8">
        <w:t xml:space="preserve">:00 – </w:t>
      </w:r>
      <w:r w:rsidR="0098529F">
        <w:t>13</w:t>
      </w:r>
      <w:r w:rsidRPr="002D58E8">
        <w:t>:00)</w:t>
      </w:r>
    </w:p>
    <w:p w14:paraId="61930F3B" w14:textId="77777777" w:rsidR="00146089" w:rsidRPr="002D58E8" w:rsidRDefault="00146089" w:rsidP="00146089">
      <w:pPr>
        <w:pStyle w:val="Bezmezer"/>
      </w:pPr>
      <w:r w:rsidRPr="002D58E8">
        <w:t xml:space="preserve">LPS pro </w:t>
      </w:r>
      <w:proofErr w:type="gramStart"/>
      <w:r w:rsidRPr="002D58E8">
        <w:t xml:space="preserve">dospělé  </w:t>
      </w:r>
      <w:r w:rsidRPr="002D58E8">
        <w:tab/>
      </w:r>
      <w:proofErr w:type="gramEnd"/>
      <w:r w:rsidRPr="002D58E8">
        <w:t>po-pá</w:t>
      </w:r>
      <w:r w:rsidRPr="002D58E8">
        <w:tab/>
      </w:r>
      <w:r w:rsidRPr="002D58E8">
        <w:tab/>
        <w:t>4 hodiny (17:00 – 21:00)</w:t>
      </w:r>
      <w:r w:rsidRPr="002D58E8">
        <w:tab/>
      </w:r>
    </w:p>
    <w:p w14:paraId="61BC2E50" w14:textId="77777777" w:rsidR="00146089" w:rsidRDefault="00146089" w:rsidP="00146089">
      <w:pPr>
        <w:pStyle w:val="Bezmezer"/>
      </w:pPr>
      <w:r w:rsidRPr="002D58E8">
        <w:tab/>
      </w:r>
      <w:r w:rsidRPr="002D58E8">
        <w:tab/>
      </w:r>
      <w:r w:rsidRPr="002D58E8">
        <w:tab/>
        <w:t>so, ne, svátky</w:t>
      </w:r>
      <w:r w:rsidRPr="002D58E8">
        <w:tab/>
        <w:t>13 hodin (8:00 – 21:00)</w:t>
      </w:r>
    </w:p>
    <w:p w14:paraId="7F6BF398" w14:textId="77777777" w:rsidR="000F2643" w:rsidRPr="002D58E8" w:rsidRDefault="000F2643" w:rsidP="00146089">
      <w:pPr>
        <w:pStyle w:val="Bezmezer"/>
      </w:pPr>
    </w:p>
    <w:p w14:paraId="0B4991C7" w14:textId="77777777" w:rsidR="00146089" w:rsidRDefault="00146089" w:rsidP="00146089">
      <w:pPr>
        <w:pStyle w:val="Bezmezer"/>
      </w:pPr>
    </w:p>
    <w:p w14:paraId="206A2330" w14:textId="132E9652" w:rsidR="00146089" w:rsidRPr="00D91FC6" w:rsidRDefault="00146089" w:rsidP="00146089">
      <w:pPr>
        <w:pStyle w:val="Bezmezer"/>
        <w:rPr>
          <w:b/>
        </w:rPr>
      </w:pPr>
      <w:r w:rsidRPr="00D91FC6">
        <w:rPr>
          <w:b/>
        </w:rPr>
        <w:t xml:space="preserve">Akutní   neodkladná dětská </w:t>
      </w:r>
      <w:proofErr w:type="gramStart"/>
      <w:r w:rsidRPr="00D91FC6">
        <w:rPr>
          <w:b/>
        </w:rPr>
        <w:t>ambulance  pro</w:t>
      </w:r>
      <w:proofErr w:type="gramEnd"/>
      <w:r w:rsidRPr="00D91FC6">
        <w:rPr>
          <w:b/>
        </w:rPr>
        <w:t xml:space="preserve"> období od 1.</w:t>
      </w:r>
      <w:r>
        <w:rPr>
          <w:b/>
        </w:rPr>
        <w:t>1</w:t>
      </w:r>
      <w:r w:rsidRPr="00D91FC6">
        <w:rPr>
          <w:b/>
        </w:rPr>
        <w:t>.202</w:t>
      </w:r>
      <w:r>
        <w:rPr>
          <w:b/>
        </w:rPr>
        <w:t>4</w:t>
      </w:r>
      <w:r w:rsidRPr="00D91FC6">
        <w:rPr>
          <w:b/>
        </w:rPr>
        <w:t xml:space="preserve"> :</w:t>
      </w:r>
    </w:p>
    <w:p w14:paraId="22D49C24" w14:textId="77777777" w:rsidR="00146089" w:rsidRPr="00C205DE" w:rsidRDefault="00146089" w:rsidP="00146089">
      <w:pPr>
        <w:pStyle w:val="Bezmezer"/>
      </w:pPr>
      <w:r>
        <w:tab/>
      </w:r>
      <w:r>
        <w:tab/>
      </w:r>
      <w:r>
        <w:tab/>
      </w:r>
      <w:r w:rsidRPr="00C205DE">
        <w:t xml:space="preserve">po-pá </w:t>
      </w:r>
      <w:r w:rsidRPr="00C205DE">
        <w:tab/>
      </w:r>
      <w:r w:rsidRPr="00C205DE">
        <w:tab/>
      </w:r>
      <w:r>
        <w:t>8</w:t>
      </w:r>
      <w:r w:rsidRPr="00C205DE">
        <w:t xml:space="preserve"> hodin (</w:t>
      </w:r>
      <w:r>
        <w:t>22</w:t>
      </w:r>
      <w:r w:rsidRPr="00C205DE">
        <w:t xml:space="preserve">:00 – </w:t>
      </w:r>
      <w:r>
        <w:t>6</w:t>
      </w:r>
      <w:r w:rsidRPr="00C205DE">
        <w:t>:00)</w:t>
      </w:r>
    </w:p>
    <w:p w14:paraId="5176D14A" w14:textId="187F464C" w:rsidR="00146089" w:rsidRPr="002D58E8" w:rsidRDefault="00146089" w:rsidP="00146089">
      <w:pPr>
        <w:pStyle w:val="Bezmezer"/>
      </w:pPr>
      <w:r w:rsidRPr="002D58E8">
        <w:tab/>
      </w:r>
      <w:r w:rsidRPr="002D58E8">
        <w:tab/>
      </w:r>
      <w:r w:rsidRPr="002D58E8">
        <w:tab/>
        <w:t>so, ne, svátky</w:t>
      </w:r>
      <w:r w:rsidRPr="002D58E8">
        <w:tab/>
      </w:r>
      <w:r w:rsidR="00DF3C60">
        <w:t>10</w:t>
      </w:r>
      <w:r w:rsidRPr="002D58E8">
        <w:t xml:space="preserve"> hodin (</w:t>
      </w:r>
      <w:r>
        <w:t>20:</w:t>
      </w:r>
      <w:r w:rsidRPr="002D58E8">
        <w:t xml:space="preserve">00 – </w:t>
      </w:r>
      <w:r>
        <w:t>6</w:t>
      </w:r>
      <w:r w:rsidRPr="002D58E8">
        <w:t>:00)</w:t>
      </w:r>
    </w:p>
    <w:p w14:paraId="2904FE35" w14:textId="77777777" w:rsidR="00146089" w:rsidRPr="00A76101" w:rsidRDefault="00146089" w:rsidP="00C57721">
      <w:pPr>
        <w:pStyle w:val="Bezmezer"/>
        <w:keepNext/>
        <w:keepLines/>
        <w:rPr>
          <w:rFonts w:ascii="Arial" w:hAnsi="Arial" w:cs="Arial"/>
          <w:sz w:val="20"/>
          <w:szCs w:val="20"/>
        </w:rPr>
      </w:pPr>
    </w:p>
    <w:sectPr w:rsidR="00146089" w:rsidRPr="00A76101" w:rsidSect="006C40AC">
      <w:footerReference w:type="default" r:id="rId10"/>
      <w:headerReference w:type="first" r:id="rId11"/>
      <w:pgSz w:w="11906" w:h="16838"/>
      <w:pgMar w:top="1418" w:right="96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977D" w14:textId="77777777" w:rsidR="00AB3E6B" w:rsidRDefault="00AB3E6B">
      <w:r>
        <w:separator/>
      </w:r>
    </w:p>
  </w:endnote>
  <w:endnote w:type="continuationSeparator" w:id="0">
    <w:p w14:paraId="609E9750" w14:textId="77777777" w:rsidR="00AB3E6B" w:rsidRDefault="00AB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7B15A" w14:textId="49299343" w:rsidR="00D2720E" w:rsidRPr="00DE7942" w:rsidRDefault="008250FD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C57721">
      <w:rPr>
        <w:rFonts w:ascii="Arial" w:hAnsi="Arial" w:cs="Arial"/>
        <w:noProof/>
        <w:sz w:val="18"/>
        <w:szCs w:val="18"/>
      </w:rPr>
      <w:t>7</w:t>
    </w:r>
    <w:r w:rsidRPr="00DE7942">
      <w:rPr>
        <w:rFonts w:ascii="Arial" w:hAnsi="Arial" w:cs="Arial"/>
        <w:sz w:val="18"/>
        <w:szCs w:val="18"/>
      </w:rPr>
      <w:fldChar w:fldCharType="end"/>
    </w:r>
  </w:p>
  <w:p w14:paraId="604BC39A" w14:textId="77777777" w:rsidR="00D2720E" w:rsidRPr="00492C0E" w:rsidRDefault="00D2720E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85BC" w14:textId="77777777" w:rsidR="00AB3E6B" w:rsidRDefault="00AB3E6B">
      <w:r>
        <w:separator/>
      </w:r>
    </w:p>
  </w:footnote>
  <w:footnote w:type="continuationSeparator" w:id="0">
    <w:p w14:paraId="1EA28B42" w14:textId="77777777" w:rsidR="00AB3E6B" w:rsidRDefault="00AB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BF34" w14:textId="51E7ED56" w:rsidR="00502EB7" w:rsidRPr="00502EB7" w:rsidRDefault="00502EB7">
    <w:pPr>
      <w:pStyle w:val="Zhlav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  <w:p w14:paraId="380756C3" w14:textId="77777777" w:rsidR="00502EB7" w:rsidRDefault="00502E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F03"/>
    <w:multiLevelType w:val="multilevel"/>
    <w:tmpl w:val="2FA4091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EB2E5C"/>
    <w:multiLevelType w:val="hybridMultilevel"/>
    <w:tmpl w:val="AE102D80"/>
    <w:lvl w:ilvl="0" w:tplc="156C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455"/>
    <w:multiLevelType w:val="multilevel"/>
    <w:tmpl w:val="2EA61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62B56"/>
    <w:multiLevelType w:val="multilevel"/>
    <w:tmpl w:val="5A2EF1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72251"/>
    <w:multiLevelType w:val="multilevel"/>
    <w:tmpl w:val="57BE9C0C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24730C1F"/>
    <w:multiLevelType w:val="multilevel"/>
    <w:tmpl w:val="843A3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9F70E7"/>
    <w:multiLevelType w:val="hybridMultilevel"/>
    <w:tmpl w:val="17F438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D776A"/>
    <w:multiLevelType w:val="multilevel"/>
    <w:tmpl w:val="F6604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6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5" w:hanging="72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6" w:hanging="72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8" w:hanging="1080"/>
      </w:pPr>
      <w:rPr>
        <w:rFonts w:hint="default"/>
        <w:i w:val="0"/>
        <w:color w:val="auto"/>
        <w:sz w:val="20"/>
      </w:rPr>
    </w:lvl>
  </w:abstractNum>
  <w:abstractNum w:abstractNumId="8" w15:restartNumberingAfterBreak="0">
    <w:nsid w:val="47DF7FDF"/>
    <w:multiLevelType w:val="multilevel"/>
    <w:tmpl w:val="A03CC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CC6254"/>
    <w:multiLevelType w:val="hybridMultilevel"/>
    <w:tmpl w:val="87A899D0"/>
    <w:lvl w:ilvl="0" w:tplc="12BE7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12" w15:restartNumberingAfterBreak="0">
    <w:nsid w:val="68751BD4"/>
    <w:multiLevelType w:val="multilevel"/>
    <w:tmpl w:val="C55AB8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7C4ED0"/>
    <w:multiLevelType w:val="multilevel"/>
    <w:tmpl w:val="9A2C27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4593874"/>
    <w:multiLevelType w:val="multilevel"/>
    <w:tmpl w:val="12304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15" w15:restartNumberingAfterBreak="0">
    <w:nsid w:val="7ECB7F8F"/>
    <w:multiLevelType w:val="multilevel"/>
    <w:tmpl w:val="57BE9C0C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6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 w16cid:durableId="377629719">
    <w:abstractNumId w:val="4"/>
  </w:num>
  <w:num w:numId="2" w16cid:durableId="1401900070">
    <w:abstractNumId w:val="6"/>
  </w:num>
  <w:num w:numId="3" w16cid:durableId="217862121">
    <w:abstractNumId w:val="8"/>
  </w:num>
  <w:num w:numId="4" w16cid:durableId="689841440">
    <w:abstractNumId w:val="0"/>
  </w:num>
  <w:num w:numId="5" w16cid:durableId="742920012">
    <w:abstractNumId w:val="16"/>
  </w:num>
  <w:num w:numId="6" w16cid:durableId="626281187">
    <w:abstractNumId w:val="7"/>
  </w:num>
  <w:num w:numId="7" w16cid:durableId="1848910373">
    <w:abstractNumId w:val="12"/>
  </w:num>
  <w:num w:numId="8" w16cid:durableId="891503186">
    <w:abstractNumId w:val="15"/>
  </w:num>
  <w:num w:numId="9" w16cid:durableId="249896834">
    <w:abstractNumId w:val="1"/>
  </w:num>
  <w:num w:numId="10" w16cid:durableId="242228164">
    <w:abstractNumId w:val="9"/>
  </w:num>
  <w:num w:numId="11" w16cid:durableId="1755659868">
    <w:abstractNumId w:val="5"/>
  </w:num>
  <w:num w:numId="12" w16cid:durableId="7223551">
    <w:abstractNumId w:val="10"/>
  </w:num>
  <w:num w:numId="13" w16cid:durableId="719979750">
    <w:abstractNumId w:val="13"/>
  </w:num>
  <w:num w:numId="14" w16cid:durableId="270406881">
    <w:abstractNumId w:val="2"/>
  </w:num>
  <w:num w:numId="15" w16cid:durableId="1050424686">
    <w:abstractNumId w:val="11"/>
  </w:num>
  <w:num w:numId="16" w16cid:durableId="722216058">
    <w:abstractNumId w:val="14"/>
  </w:num>
  <w:num w:numId="17" w16cid:durableId="127089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70"/>
    <w:rsid w:val="0002422E"/>
    <w:rsid w:val="000357BE"/>
    <w:rsid w:val="00070885"/>
    <w:rsid w:val="00071223"/>
    <w:rsid w:val="00075154"/>
    <w:rsid w:val="0009013B"/>
    <w:rsid w:val="000906C2"/>
    <w:rsid w:val="000A25E3"/>
    <w:rsid w:val="000B210A"/>
    <w:rsid w:val="000C32C2"/>
    <w:rsid w:val="000D6DF9"/>
    <w:rsid w:val="000E7AB3"/>
    <w:rsid w:val="000F2643"/>
    <w:rsid w:val="000F690A"/>
    <w:rsid w:val="0010558D"/>
    <w:rsid w:val="00121E8D"/>
    <w:rsid w:val="00133609"/>
    <w:rsid w:val="001427D7"/>
    <w:rsid w:val="00146089"/>
    <w:rsid w:val="001C1560"/>
    <w:rsid w:val="001D4037"/>
    <w:rsid w:val="001D4335"/>
    <w:rsid w:val="00205966"/>
    <w:rsid w:val="00226A77"/>
    <w:rsid w:val="00237286"/>
    <w:rsid w:val="00244390"/>
    <w:rsid w:val="00244B59"/>
    <w:rsid w:val="002819AD"/>
    <w:rsid w:val="002C432D"/>
    <w:rsid w:val="002E1431"/>
    <w:rsid w:val="003033C1"/>
    <w:rsid w:val="00333A2C"/>
    <w:rsid w:val="00340251"/>
    <w:rsid w:val="0034370E"/>
    <w:rsid w:val="00390FE9"/>
    <w:rsid w:val="003B0A02"/>
    <w:rsid w:val="003C1CAA"/>
    <w:rsid w:val="003C1F32"/>
    <w:rsid w:val="003C7DD1"/>
    <w:rsid w:val="003E1E6E"/>
    <w:rsid w:val="00412069"/>
    <w:rsid w:val="004174BD"/>
    <w:rsid w:val="00423C89"/>
    <w:rsid w:val="00473CB1"/>
    <w:rsid w:val="00473DEE"/>
    <w:rsid w:val="00473EFB"/>
    <w:rsid w:val="00481A37"/>
    <w:rsid w:val="004D0902"/>
    <w:rsid w:val="004E5BC1"/>
    <w:rsid w:val="004E661B"/>
    <w:rsid w:val="004F12AB"/>
    <w:rsid w:val="004F25A6"/>
    <w:rsid w:val="004F6E2F"/>
    <w:rsid w:val="00502EB7"/>
    <w:rsid w:val="0057489F"/>
    <w:rsid w:val="005757F3"/>
    <w:rsid w:val="005F76EC"/>
    <w:rsid w:val="00602937"/>
    <w:rsid w:val="006253A1"/>
    <w:rsid w:val="00631BBB"/>
    <w:rsid w:val="006353A1"/>
    <w:rsid w:val="00646FD2"/>
    <w:rsid w:val="00647C6D"/>
    <w:rsid w:val="00696840"/>
    <w:rsid w:val="006C40AC"/>
    <w:rsid w:val="006E1D32"/>
    <w:rsid w:val="00740E6F"/>
    <w:rsid w:val="00746D85"/>
    <w:rsid w:val="00752A7A"/>
    <w:rsid w:val="0076437B"/>
    <w:rsid w:val="007879BA"/>
    <w:rsid w:val="00792DDB"/>
    <w:rsid w:val="007A143E"/>
    <w:rsid w:val="007B11ED"/>
    <w:rsid w:val="007D426E"/>
    <w:rsid w:val="007D7215"/>
    <w:rsid w:val="007E7C64"/>
    <w:rsid w:val="007F4D15"/>
    <w:rsid w:val="008250FD"/>
    <w:rsid w:val="008423A7"/>
    <w:rsid w:val="00843845"/>
    <w:rsid w:val="008651FD"/>
    <w:rsid w:val="00865D8F"/>
    <w:rsid w:val="00880DDA"/>
    <w:rsid w:val="008E5304"/>
    <w:rsid w:val="008F1CEC"/>
    <w:rsid w:val="009074EF"/>
    <w:rsid w:val="00956D3E"/>
    <w:rsid w:val="00967631"/>
    <w:rsid w:val="00976BD8"/>
    <w:rsid w:val="0098529F"/>
    <w:rsid w:val="009C02C0"/>
    <w:rsid w:val="009F431D"/>
    <w:rsid w:val="00A037AB"/>
    <w:rsid w:val="00A62589"/>
    <w:rsid w:val="00A73675"/>
    <w:rsid w:val="00A75405"/>
    <w:rsid w:val="00A76101"/>
    <w:rsid w:val="00AA0249"/>
    <w:rsid w:val="00AB3E6B"/>
    <w:rsid w:val="00AF60F9"/>
    <w:rsid w:val="00B33C0A"/>
    <w:rsid w:val="00B63270"/>
    <w:rsid w:val="00B72BBA"/>
    <w:rsid w:val="00B8226C"/>
    <w:rsid w:val="00BB11B4"/>
    <w:rsid w:val="00C001CF"/>
    <w:rsid w:val="00C1301D"/>
    <w:rsid w:val="00C205DE"/>
    <w:rsid w:val="00C3640E"/>
    <w:rsid w:val="00C57721"/>
    <w:rsid w:val="00C6261F"/>
    <w:rsid w:val="00C63A5E"/>
    <w:rsid w:val="00C90F24"/>
    <w:rsid w:val="00CE5893"/>
    <w:rsid w:val="00D01F5E"/>
    <w:rsid w:val="00D11079"/>
    <w:rsid w:val="00D20346"/>
    <w:rsid w:val="00D2720E"/>
    <w:rsid w:val="00D34E46"/>
    <w:rsid w:val="00D42BD1"/>
    <w:rsid w:val="00D631C9"/>
    <w:rsid w:val="00D91FC6"/>
    <w:rsid w:val="00DE373D"/>
    <w:rsid w:val="00DF3C60"/>
    <w:rsid w:val="00E146BE"/>
    <w:rsid w:val="00E30234"/>
    <w:rsid w:val="00EE2075"/>
    <w:rsid w:val="00EE64D2"/>
    <w:rsid w:val="00F42D20"/>
    <w:rsid w:val="00F519AB"/>
    <w:rsid w:val="00F95ED7"/>
    <w:rsid w:val="00FA3DA8"/>
    <w:rsid w:val="00FA444B"/>
    <w:rsid w:val="00FB724D"/>
    <w:rsid w:val="00FC1170"/>
    <w:rsid w:val="00FC360B"/>
    <w:rsid w:val="00FD4674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D5A4"/>
  <w15:chartTrackingRefBased/>
  <w15:docId w15:val="{1A5C5181-9BD1-4912-87A7-C4E6E640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C432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6327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3270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B63270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B63270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63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6327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632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ormln"/>
    <w:link w:val="Styl2Char"/>
    <w:qFormat/>
    <w:rsid w:val="00B63270"/>
    <w:pPr>
      <w:spacing w:before="60" w:after="120"/>
      <w:jc w:val="both"/>
    </w:pPr>
    <w:rPr>
      <w:rFonts w:ascii="Arial" w:hAnsi="Arial" w:cs="Arial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B63270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2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2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2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2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27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Char">
    <w:name w:val="odrážky Char"/>
    <w:basedOn w:val="Zkladntextodsazen"/>
    <w:rsid w:val="00E30234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FA444B"/>
    <w:pPr>
      <w:spacing w:after="120"/>
      <w:jc w:val="center"/>
    </w:pPr>
    <w:rPr>
      <w:b/>
      <w:szCs w:val="20"/>
    </w:rPr>
  </w:style>
  <w:style w:type="paragraph" w:styleId="Revize">
    <w:name w:val="Revision"/>
    <w:hidden/>
    <w:uiPriority w:val="99"/>
    <w:semiHidden/>
    <w:rsid w:val="0007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C4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rsid w:val="002C432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43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C43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432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C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2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80DDA"/>
    <w:rPr>
      <w:rFonts w:eastAsiaTheme="minorHAnsi"/>
    </w:rPr>
  </w:style>
  <w:style w:type="paragraph" w:customStyle="1" w:styleId="Styl3">
    <w:name w:val="Styl3"/>
    <w:basedOn w:val="Zkladntext"/>
    <w:link w:val="Styl3Char"/>
    <w:qFormat/>
    <w:rsid w:val="0010558D"/>
    <w:pPr>
      <w:keepNext/>
      <w:widowControl/>
      <w:numPr>
        <w:numId w:val="15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3Char">
    <w:name w:val="Styl3 Char"/>
    <w:basedOn w:val="ZkladntextChar"/>
    <w:link w:val="Styl3"/>
    <w:rsid w:val="0010558D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1B43-CECD-45BB-B015-0DD0E2C3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1439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Jašek Michal</dc:creator>
  <cp:keywords/>
  <dc:description/>
  <cp:lastModifiedBy>Odstrčilík Štěpán</cp:lastModifiedBy>
  <cp:revision>3</cp:revision>
  <cp:lastPrinted>2023-05-12T12:01:00Z</cp:lastPrinted>
  <dcterms:created xsi:type="dcterms:W3CDTF">2024-06-20T06:55:00Z</dcterms:created>
  <dcterms:modified xsi:type="dcterms:W3CDTF">2024-06-20T07:45:00Z</dcterms:modified>
</cp:coreProperties>
</file>