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474" w:h="605" w:wrap="none" w:hAnchor="page" w:x="924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SWECO</w:t>
      </w: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739" w:left="1110" w:right="564" w:bottom="615" w:header="31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39" w:left="0" w:right="0" w:bottom="669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2 Společenské smlouvy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podílů společníků:</w:t>
      </w:r>
    </w:p>
    <w:tbl>
      <w:tblPr>
        <w:tblOverlap w:val="never"/>
        <w:jc w:val="center"/>
        <w:tblLayout w:type="fixed"/>
      </w:tblPr>
      <w:tblGrid>
        <w:gridCol w:w="2803"/>
        <w:gridCol w:w="1253"/>
        <w:gridCol w:w="1627"/>
        <w:gridCol w:w="1258"/>
        <w:gridCol w:w="1253"/>
        <w:gridCol w:w="1320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SWECO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MF 7%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ETAPA 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ETAPA B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ETAPA C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ETAPA D (D1 + D2)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71" w:lineRule="auto"/>
        <w:ind w:left="380" w:right="0" w:hanging="38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zamýšlí část díla provést pomocí třetí osoby (subdodavatele). Za tímto účelem vyčlenily náklady na subdodavatelsky prováděné práce v této příloze.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71" w:lineRule="auto"/>
        <w:ind w:left="380" w:right="0" w:hanging="38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Budou-li skutečné náklady subdodavatelských prací jiné než náklady uvedené v této příloze, smluvní strany se dohodly, že případný rozdíl (kladný nebo záporný) ponesou rovným dílem. Budou-li vyčleněny další práce, které má provést některý ze společníků, na subdodavatele, náklady na tyto další subdodavatelské práce ponesou smluvní strany rovným dílem.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1460" w:line="271" w:lineRule="auto"/>
        <w:ind w:left="380" w:right="0" w:hanging="38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Nastane-li některá situace uvedená v předchozím bodě, smluvní strany upraví dodatkem ke Společenské smlouvě své podíly a náklady subdodavatelských prací.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54000" distB="0" distL="0" distR="0" simplePos="0" relativeHeight="125829378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254000</wp:posOffset>
                </wp:positionV>
                <wp:extent cx="1877695" cy="70104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701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875" w:val="left"/>
                              </w:tabs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 xml:space="preserve"> jméno: …………………………… funkce: ……………………………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5pt;margin-top:20.pt;width:147.84999999999999pt;height:55.200000000000003pt;z-index:-125829375;mso-wrap-distance-left:0;mso-wrap-distance-top:20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75" w:val="left"/>
                        </w:tabs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 jméno: …………………………… funkce: 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0" distB="0" distL="0" distR="0" simplePos="0" relativeHeight="125829380" behindDoc="0" locked="0" layoutInCell="1" allowOverlap="1">
                <wp:simplePos x="0" y="0"/>
                <wp:positionH relativeFrom="page">
                  <wp:posOffset>3405505</wp:posOffset>
                </wp:positionH>
                <wp:positionV relativeFrom="paragraph">
                  <wp:posOffset>254000</wp:posOffset>
                </wp:positionV>
                <wp:extent cx="1877695" cy="7010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701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822" w:val="left"/>
                              </w:tabs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 xml:space="preserve"> jméno: …………………………… funkce: ……………………………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8.14999999999998pt;margin-top:20.pt;width:147.84999999999999pt;height:55.200000000000003pt;z-index:-125829373;mso-wrap-distance-left:0;mso-wrap-distance-top:20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22" w:val="left"/>
                        </w:tabs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 jméno: …………………………… funkce: 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81000" distB="0" distL="0" distR="0" simplePos="0" relativeHeight="125829382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381000</wp:posOffset>
                </wp:positionV>
                <wp:extent cx="1877695" cy="6184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618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875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 xml:space="preserve"> jméno: …………………………… funkce: ……………………………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pt;margin-top:30.pt;width:147.84999999999999pt;height:48.700000000000003pt;z-index:-125829371;mso-wrap-distance-left:0;mso-wrap-distance-top:30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75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 jméno: …………………………… funkce: 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0" distB="0" distL="0" distR="0" simplePos="0" relativeHeight="125829384" behindDoc="0" locked="0" layoutInCell="1" allowOverlap="1">
                <wp:simplePos x="0" y="0"/>
                <wp:positionH relativeFrom="page">
                  <wp:posOffset>3405505</wp:posOffset>
                </wp:positionH>
                <wp:positionV relativeFrom="paragraph">
                  <wp:posOffset>381000</wp:posOffset>
                </wp:positionV>
                <wp:extent cx="1877695" cy="6184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618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875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 xml:space="preserve"> jméno: …………………………… funkce: ……………………………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8.14999999999998pt;margin-top:30.pt;width:147.84999999999999pt;height:48.700000000000003pt;z-index:-125829369;mso-wrap-distance-left:0;mso-wrap-distance-top:30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75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 jméno: …………………………… funkce: 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3307"/>
        <w:gridCol w:w="4848"/>
      </w:tblGrid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Sweco a.s.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Vodohospodářský rozvoj a výstavba a.s.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 Praze dne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viz el. podpis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 Praze dne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viz el. podpis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39" w:left="1110" w:right="1246" w:bottom="66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39" w:left="0" w:right="0" w:bottom="66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Společenská smlouva 12-4206-0199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Analýza oblastí s významným povodňovým rizikem v územní působnosti Povodí Ohře, státního podniku včetně návrhů možných protipovodňových opatření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739" w:left="1110" w:right="1246" w:bottom="66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7096760</wp:posOffset>
              </wp:positionH>
              <wp:positionV relativeFrom="page">
                <wp:posOffset>10238105</wp:posOffset>
              </wp:positionV>
              <wp:extent cx="106680" cy="1035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8.80000000000007pt;margin-top:806.14999999999998pt;width:8.4000000000000004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