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Příloha č. 11 – Čestné prohlášení k finančním sankcím Zhotovitel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VE VZTAHU K RUSKÝM / BĚLORUSKÝM SUBJEKTŮM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/ veřejné zakázky: Analýza oblastí s významným povodňovým rizikem v územní působnosti Povodí Ohře, státního podniku včetně návrhů možných protipovodňových opatření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zhotovitele 2:</w:t>
      </w:r>
    </w:p>
    <w:tbl>
      <w:tblPr>
        <w:tblOverlap w:val="never"/>
        <w:jc w:val="center"/>
        <w:tblLayout w:type="fixed"/>
      </w:tblPr>
      <w:tblGrid>
        <w:gridCol w:w="4142"/>
        <w:gridCol w:w="5299"/>
      </w:tblGrid>
      <w:tr>
        <w:trPr>
          <w:trHeight w:val="44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firma / název / jméno a příjmení: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47116901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2 tímto ve vztahu k výše nadepsané zakázce / veřejné zakázky prohlašuje, že: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642" w:val="left"/>
        </w:tabs>
        <w:bidi w:val="0"/>
        <w:spacing w:before="0" w:after="0" w:line="259" w:lineRule="auto"/>
        <w:ind w:left="3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</w:t>
        <w:tab/>
        <w:t>to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více než 10 % nabídkové ceny,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0" w:val="left"/>
        </w:tabs>
        <w:bidi w:val="0"/>
        <w:spacing w:before="0" w:after="0" w:line="266" w:lineRule="auto"/>
        <w:ind w:left="6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ruským státním příslušníkem, fyzickou či právnickou osobou nebo subjektem či orgánem se sídlem v Rusku,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0" w:val="left"/>
        </w:tabs>
        <w:bidi w:val="0"/>
        <w:spacing w:before="0" w:after="0" w:line="266" w:lineRule="auto"/>
        <w:ind w:left="600" w:right="0" w:hanging="3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z více než 50 % přímo či nepřímo vlastněn některým ze subjektů uvedených v písmeni a), ani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0" w:val="left"/>
        </w:tabs>
        <w:bidi w:val="0"/>
        <w:spacing w:before="0" w:line="266" w:lineRule="auto"/>
        <w:ind w:left="0" w:right="0" w:firstLine="300"/>
        <w:jc w:val="left"/>
      </w:pPr>
      <w:bookmarkStart w:id="4" w:name="bookmark4"/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nejedná jménem nebo na pokyn některého ze subjektů uvedených v písmeni a) nebo b)</w:t>
      </w:r>
      <w:hyperlink w:anchor="bookmark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2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3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 omezujících opatřeních </w:t>
      </w: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ůči prezidentu Lukašenkovi a některým představitelům Běloruska (ve znění pozdějších aktualizací)</w:t>
      </w:r>
      <w:hyperlink w:anchor="bookmark1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3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57" w:lineRule="auto"/>
        <w:ind w:left="3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64" w:lineRule="auto"/>
        <w:ind w:left="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  <w:t>…………………………………………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…………………………………………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6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elektronicky smlouvu o dílo)</w:t>
      </w:r>
    </w:p>
    <w:sectPr>
      <w:footnotePr>
        <w:pos w:val="pageBottom"/>
        <w:numFmt w:val="decimal"/>
        <w:numStart w:val="1"/>
        <w:numRestart w:val="continuous"/>
        <w15:footnoteColumns w:val="1"/>
      </w:footnotePr>
      <w:pgSz w:w="11909" w:h="16838"/>
      <w:pgMar w:top="523" w:left="1389" w:right="1077" w:bottom="523" w:header="95" w:footer="9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tabs>
          <w:tab w:pos="115" w:val="left"/>
        </w:tabs>
        <w:bidi w:val="0"/>
        <w:spacing w:before="0" w:after="0" w:line="298" w:lineRule="auto"/>
        <w:ind w:left="0" w:right="0" w:firstLine="0"/>
        <w:jc w:val="left"/>
      </w:pPr>
      <w:hyperlink w:anchor="bookmark4" w:tooltip="Current Document">
        <w:bookmarkStart w:id="0" w:name="bookmark0"/>
        <w:r>
          <w:rPr>
            <w:color w:val="000000"/>
            <w:spacing w:val="0"/>
            <w:w w:val="100"/>
            <w:position w:val="0"/>
            <w:sz w:val="9"/>
            <w:szCs w:val="9"/>
            <w:shd w:val="clear" w:color="auto" w:fill="auto"/>
            <w:vertAlign w:val="superscript"/>
            <w:lang w:val="cs-CZ" w:eastAsia="cs-CZ" w:bidi="cs-CZ"/>
          </w:rPr>
          <w:footnoteRef/>
        </w:r>
      </w:hyperlink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</w:t>
      </w: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ento bod z čestného prohlášení vynechat.</w:t>
      </w:r>
      <w:bookmarkEnd w:id="0"/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tabs>
          <w:tab w:pos="158" w:val="left"/>
        </w:tabs>
        <w:bidi w:val="0"/>
        <w:spacing w:before="0" w:after="0" w:line="293" w:lineRule="auto"/>
        <w:ind w:left="0" w:right="0" w:firstLine="0"/>
        <w:jc w:val="left"/>
        <w:rPr>
          <w:sz w:val="17"/>
          <w:szCs w:val="17"/>
        </w:rPr>
      </w:pPr>
      <w:hyperlink w:anchor="bookmark6" w:tooltip="Current Document">
        <w:r>
          <w:rPr>
            <w:color w:val="000000"/>
            <w:spacing w:val="0"/>
            <w:w w:val="100"/>
            <w:position w:val="0"/>
            <w:sz w:val="9"/>
            <w:szCs w:val="9"/>
            <w:shd w:val="clear" w:color="auto" w:fill="auto"/>
            <w:vertAlign w:val="superscript"/>
            <w:lang w:val="cs-CZ" w:eastAsia="cs-CZ" w:bidi="cs-CZ"/>
          </w:rPr>
          <w:footnoteRef/>
        </w:r>
      </w:hyperlink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Aktualizovaný seznam sankcionovaných osob je uveden například na internetových stránkách Finančního analytického úřadu zde </w:t>
      </w:r>
      <w:r>
        <w:fldChar w:fldCharType="begin"/>
      </w:r>
      <w:r>
        <w:rPr/>
        <w:instrText> HYPERLINK "https://www.financnianalytickyurad.cz/blog/zarazeni-dalsich-osob-na-sankcni-seznam-proti-rusku"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https://www.financnianalytickyurad.cz/blog/zarazeni-dalsich-osob-na-sankcni-seznam-</w:t>
      </w:r>
      <w:r>
        <w:fldChar w:fldCharType="end"/>
      </w:r>
      <w:r>
        <w:rPr>
          <w:color w:val="0000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fldChar w:fldCharType="begin"/>
      </w:r>
      <w:r>
        <w:rPr/>
        <w:instrText> HYPERLINK "https://www.financnianalytickyurad.cz/blog/zarazeni-dalsich-osob-na-sankcni-seznam-proti-rusku"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proti-rusku</w:t>
      </w:r>
      <w:r>
        <w:fldChar w:fldCharType="end"/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73767D"/>
      <w:sz w:val="16"/>
      <w:szCs w:val="16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4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3767D"/>
      <w:sz w:val="16"/>
      <w:szCs w:val="1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00"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00"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