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7 – Čestné prohlášení o neexistenci střetu zájmů Zhotovitel 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K VYLOUČENÍ STŘETU ZÁJMŮ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Analýza oblastí s významným povodňovým rizikem v územní působnosti Povodí Ohře, státního podniku včetně návrhů možných protipovodňových opatření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zhotovitele 1:</w:t>
      </w:r>
    </w:p>
    <w:tbl>
      <w:tblPr>
        <w:tblOverlap w:val="never"/>
        <w:jc w:val="center"/>
        <w:tblLayout w:type="fixed"/>
      </w:tblPr>
      <w:tblGrid>
        <w:gridCol w:w="4142"/>
        <w:gridCol w:w="5299"/>
      </w:tblGrid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26475081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tímto v souladu se zadávacími podmínkami k výše uvedené zakázce / veřejné zakázce čestně prohlašuje, že fyzickou osobou (fyzickými osobami), která (které) vlastní podíl představující alespoň 25 % účasti společníka v obchodní společnosti je (jsou):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taková osoba (osoby) neexistuje, zhotovitel ponechá tabulku (tabulky) nevyplněnou, příp. ji proškrtne.</w:t>
      </w:r>
    </w:p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tímto v souladu s ust. § 4b zákona č. 159/2006 Sb., o střetu zájmů, ve znění pozdějších předpisů (dále jen „zákon o střetu zájmů“) čestně prohlašuje, že není ob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hodní společností, ve které veřejný funkcionář uvedený v § 2 odst. 1 písm. c) zákona o střetu zájmů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nebo jím ovládaná osoba vlastní podíl představující alespoň 25 % účasti společníka v obchodní společnosti.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…………………………………………………..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…………………………………………………..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elektronicky smlouvu o dílo)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9" w:h="16838"/>
      <w:pgMar w:top="523" w:left="1389" w:right="1077" w:bottom="523" w:header="95" w:footer="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hyperlink w:anchor="bookmark1" w:tooltip="Current Document">
        <w:bookmarkStart w:id="0" w:name="bookmark0"/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End w:id="0"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