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C43" w:rsidRDefault="00662C96" w:rsidP="005D16CC">
      <w:pPr>
        <w:pStyle w:val="Nadpis1"/>
        <w:rPr>
          <w:b w:val="0"/>
          <w:sz w:val="28"/>
          <w:szCs w:val="28"/>
        </w:rPr>
      </w:pPr>
      <w:bookmarkStart w:id="0" w:name="_heading=h.gjdgxs" w:colFirst="0" w:colLast="0"/>
      <w:bookmarkEnd w:id="0"/>
      <w:r>
        <w:rPr>
          <w:rFonts w:ascii="Arial" w:eastAsia="Arial" w:hAnsi="Arial" w:cs="Arial"/>
          <w:sz w:val="20"/>
          <w:szCs w:val="20"/>
        </w:rPr>
        <w:t xml:space="preserve"> </w:t>
      </w:r>
    </w:p>
    <w:p w:rsidR="00A42C43" w:rsidRDefault="00662C96">
      <w:pPr>
        <w:jc w:val="center"/>
        <w:rPr>
          <w:b/>
        </w:rPr>
      </w:pPr>
      <w:r>
        <w:rPr>
          <w:b/>
          <w:sz w:val="22"/>
          <w:szCs w:val="22"/>
        </w:rPr>
        <w:t>Smlouva o podpoře statistického nástroje pro datamining a pokročilé analýzy</w:t>
      </w:r>
    </w:p>
    <w:p w:rsidR="00A42C43" w:rsidRDefault="00662C96">
      <w:pPr>
        <w:jc w:val="center"/>
        <w:rPr>
          <w:b/>
          <w:sz w:val="28"/>
          <w:szCs w:val="28"/>
        </w:rPr>
      </w:pPr>
      <w:r>
        <w:rPr>
          <w:b/>
          <w:sz w:val="22"/>
          <w:szCs w:val="22"/>
        </w:rPr>
        <w:t xml:space="preserve">č. </w:t>
      </w:r>
      <w:r w:rsidR="005D16CC" w:rsidRPr="001F18E7">
        <w:rPr>
          <w:rFonts w:cs="Arial"/>
          <w:b/>
          <w:bCs/>
          <w:sz w:val="22"/>
          <w:szCs w:val="20"/>
        </w:rPr>
        <w:t>2300762</w:t>
      </w:r>
      <w:r w:rsidR="005D16CC">
        <w:rPr>
          <w:rFonts w:cs="Arial"/>
          <w:b/>
          <w:bCs/>
          <w:sz w:val="22"/>
          <w:szCs w:val="20"/>
        </w:rPr>
        <w:t>/</w:t>
      </w:r>
      <w:r w:rsidR="00FA1465" w:rsidRPr="00FA1465">
        <w:rPr>
          <w:rFonts w:cs="Arial"/>
          <w:b/>
          <w:bCs/>
          <w:sz w:val="22"/>
          <w:szCs w:val="20"/>
        </w:rPr>
        <w:t>4100063546</w:t>
      </w:r>
    </w:p>
    <w:p w:rsidR="00A42C43" w:rsidRDefault="00662C96">
      <w:pPr>
        <w:jc w:val="center"/>
      </w:pPr>
      <w:r>
        <w:t xml:space="preserve">uzavřená podle § 1746 odst. 2 a § 2358 a násl. zákona č. 89/2012 Sb., občanský zákoník, ve znění pozdějších předpisů, a v souladu se zákonem </w:t>
      </w:r>
      <w:r>
        <w:rPr>
          <w:color w:val="000000"/>
        </w:rPr>
        <w:t>č. 121/2000 Sb., o právu autorském, o právech souvisejících s právem autorským a o změně některých zákonů (autorský zákon),</w:t>
      </w:r>
      <w:r>
        <w:rPr>
          <w:color w:val="000000"/>
        </w:rPr>
        <w:br/>
        <w:t>ve znění pozdějších předpisů</w:t>
      </w:r>
    </w:p>
    <w:p w:rsidR="00A42C43" w:rsidRDefault="00662C96">
      <w:pPr>
        <w:jc w:val="center"/>
        <w:rPr>
          <w:b/>
        </w:rPr>
      </w:pPr>
      <w:r>
        <w:br/>
      </w:r>
      <w:r>
        <w:rPr>
          <w:b/>
        </w:rPr>
        <w:t>(dále jen „Smlouva“)</w:t>
      </w:r>
    </w:p>
    <w:p w:rsidR="00A42C43" w:rsidRDefault="00662C96">
      <w:pPr>
        <w:spacing w:after="120"/>
        <w:jc w:val="center"/>
        <w:rPr>
          <w:b/>
        </w:rPr>
      </w:pPr>
      <w:r>
        <w:rPr>
          <w:b/>
        </w:rPr>
        <w:t>ID VZ: 2300762</w:t>
      </w:r>
    </w:p>
    <w:p w:rsidR="00A42C43" w:rsidRDefault="00A42C43">
      <w:pPr>
        <w:pBdr>
          <w:top w:val="nil"/>
          <w:left w:val="nil"/>
          <w:bottom w:val="nil"/>
          <w:right w:val="nil"/>
          <w:between w:val="nil"/>
        </w:pBdr>
        <w:spacing w:line="360" w:lineRule="auto"/>
        <w:jc w:val="center"/>
        <w:rPr>
          <w:rFonts w:eastAsia="Arial" w:cs="Arial"/>
          <w:color w:val="000000"/>
          <w:szCs w:val="20"/>
        </w:rPr>
      </w:pPr>
    </w:p>
    <w:p w:rsidR="00A42C43" w:rsidRDefault="00662C96">
      <w:pPr>
        <w:keepNext/>
        <w:jc w:val="center"/>
        <w:rPr>
          <w:b/>
        </w:rPr>
      </w:pPr>
      <w:r>
        <w:rPr>
          <w:b/>
        </w:rPr>
        <w:t>Smluvní strany:</w:t>
      </w:r>
    </w:p>
    <w:p w:rsidR="00A42C43" w:rsidRDefault="00A42C43">
      <w:pPr>
        <w:ind w:left="426"/>
      </w:pPr>
    </w:p>
    <w:p w:rsidR="00A42C43" w:rsidRDefault="00A42C43">
      <w:pPr>
        <w:spacing w:line="276" w:lineRule="auto"/>
        <w:ind w:left="426"/>
        <w:rPr>
          <w:color w:val="00000A"/>
        </w:rPr>
      </w:pPr>
    </w:p>
    <w:p w:rsidR="00A42C43" w:rsidRDefault="00662C96">
      <w:pPr>
        <w:widowControl w:val="0"/>
        <w:spacing w:line="276" w:lineRule="auto"/>
        <w:ind w:left="426" w:hanging="426"/>
        <w:rPr>
          <w:b/>
          <w:i/>
          <w:color w:val="00000A"/>
        </w:rPr>
      </w:pPr>
      <w:r>
        <w:rPr>
          <w:b/>
          <w:color w:val="00000A"/>
        </w:rPr>
        <w:t>1. Všeobecná zdravotní pojišťovna České republiky</w:t>
      </w:r>
    </w:p>
    <w:p w:rsidR="00A42C43" w:rsidRDefault="00662C96">
      <w:pPr>
        <w:tabs>
          <w:tab w:val="left" w:pos="1701"/>
        </w:tabs>
        <w:spacing w:line="276" w:lineRule="auto"/>
        <w:ind w:left="426" w:hanging="426"/>
        <w:rPr>
          <w:color w:val="00000A"/>
        </w:rPr>
      </w:pPr>
      <w:r>
        <w:rPr>
          <w:color w:val="00000A"/>
        </w:rPr>
        <w:t>se sídlem:</w:t>
      </w:r>
      <w:r>
        <w:rPr>
          <w:color w:val="00000A"/>
        </w:rPr>
        <w:tab/>
        <w:t xml:space="preserve"> </w:t>
      </w:r>
      <w:r>
        <w:rPr>
          <w:color w:val="00000A"/>
        </w:rPr>
        <w:tab/>
      </w:r>
      <w:r>
        <w:rPr>
          <w:color w:val="00000A"/>
        </w:rPr>
        <w:tab/>
        <w:t>Orlická 2020/4, 130 00 Praha 3</w:t>
      </w:r>
    </w:p>
    <w:p w:rsidR="00A42C43" w:rsidRDefault="00662C96">
      <w:pPr>
        <w:tabs>
          <w:tab w:val="left" w:pos="1701"/>
        </w:tabs>
        <w:spacing w:line="276" w:lineRule="auto"/>
        <w:ind w:left="426" w:hanging="426"/>
        <w:rPr>
          <w:color w:val="00000A"/>
        </w:rPr>
      </w:pPr>
      <w:r>
        <w:rPr>
          <w:color w:val="00000A"/>
        </w:rPr>
        <w:t xml:space="preserve">kterou zastupuje: </w:t>
      </w:r>
      <w:r>
        <w:rPr>
          <w:color w:val="00000A"/>
        </w:rPr>
        <w:tab/>
      </w:r>
      <w:r>
        <w:rPr>
          <w:color w:val="00000A"/>
        </w:rPr>
        <w:tab/>
      </w:r>
      <w:r>
        <w:rPr>
          <w:color w:val="00000A"/>
        </w:rPr>
        <w:tab/>
        <w:t>Ing. Zdeněk Kabátek, ředitel VZP ČR</w:t>
      </w:r>
    </w:p>
    <w:p w:rsidR="00A42C43" w:rsidRDefault="00662C96">
      <w:pPr>
        <w:tabs>
          <w:tab w:val="left" w:pos="1701"/>
        </w:tabs>
        <w:spacing w:line="276" w:lineRule="auto"/>
        <w:ind w:left="426" w:hanging="426"/>
        <w:rPr>
          <w:color w:val="00000A"/>
        </w:rPr>
      </w:pPr>
      <w:r>
        <w:rPr>
          <w:color w:val="00000A"/>
        </w:rPr>
        <w:t xml:space="preserve">IČO: </w:t>
      </w:r>
      <w:r>
        <w:rPr>
          <w:color w:val="00000A"/>
        </w:rPr>
        <w:tab/>
      </w:r>
      <w:r>
        <w:rPr>
          <w:color w:val="00000A"/>
        </w:rPr>
        <w:tab/>
      </w:r>
      <w:r>
        <w:rPr>
          <w:color w:val="00000A"/>
        </w:rPr>
        <w:tab/>
        <w:t>411 97 518</w:t>
      </w:r>
    </w:p>
    <w:p w:rsidR="00A42C43" w:rsidRDefault="00662C96">
      <w:pPr>
        <w:tabs>
          <w:tab w:val="left" w:pos="1701"/>
        </w:tabs>
        <w:spacing w:line="276" w:lineRule="auto"/>
        <w:ind w:left="426" w:hanging="426"/>
        <w:rPr>
          <w:color w:val="00000A"/>
        </w:rPr>
      </w:pPr>
      <w:r>
        <w:rPr>
          <w:color w:val="00000A"/>
        </w:rPr>
        <w:t>DIČ:</w:t>
      </w:r>
      <w:r>
        <w:rPr>
          <w:color w:val="00000A"/>
        </w:rPr>
        <w:tab/>
      </w:r>
      <w:r>
        <w:rPr>
          <w:color w:val="00000A"/>
        </w:rPr>
        <w:tab/>
      </w:r>
      <w:r>
        <w:rPr>
          <w:color w:val="00000A"/>
        </w:rPr>
        <w:tab/>
      </w:r>
      <w:r>
        <w:rPr>
          <w:color w:val="00000A"/>
        </w:rPr>
        <w:tab/>
      </w:r>
      <w:r>
        <w:t>CZ</w:t>
      </w:r>
      <w:r>
        <w:rPr>
          <w:color w:val="00000A"/>
        </w:rPr>
        <w:t>41197518</w:t>
      </w:r>
    </w:p>
    <w:p w:rsidR="00A42C43" w:rsidRDefault="00662C96">
      <w:pPr>
        <w:tabs>
          <w:tab w:val="left" w:pos="1701"/>
        </w:tabs>
        <w:spacing w:line="276" w:lineRule="auto"/>
        <w:rPr>
          <w:color w:val="00000A"/>
        </w:rPr>
      </w:pPr>
      <w:r>
        <w:rPr>
          <w:color w:val="00000A"/>
        </w:rPr>
        <w:t xml:space="preserve">Bankovní spojení: </w:t>
      </w:r>
      <w:r>
        <w:rPr>
          <w:color w:val="00000A"/>
        </w:rPr>
        <w:tab/>
      </w:r>
      <w:r>
        <w:rPr>
          <w:color w:val="00000A"/>
        </w:rPr>
        <w:tab/>
      </w:r>
      <w:r>
        <w:rPr>
          <w:color w:val="00000A"/>
        </w:rPr>
        <w:tab/>
        <w:t>Česká národní banka, Praha 1, Na Příkopě 28</w:t>
      </w:r>
    </w:p>
    <w:p w:rsidR="00A42C43" w:rsidRDefault="00662C96">
      <w:pPr>
        <w:tabs>
          <w:tab w:val="left" w:pos="1701"/>
        </w:tabs>
        <w:spacing w:line="276" w:lineRule="auto"/>
        <w:rPr>
          <w:color w:val="00000A"/>
        </w:rPr>
      </w:pPr>
      <w:r>
        <w:rPr>
          <w:color w:val="00000A"/>
        </w:rPr>
        <w:t>Číslo účtu:</w:t>
      </w:r>
      <w:r>
        <w:rPr>
          <w:color w:val="00000A"/>
        </w:rPr>
        <w:tab/>
      </w:r>
      <w:r>
        <w:rPr>
          <w:color w:val="00000A"/>
        </w:rPr>
        <w:tab/>
      </w:r>
      <w:r>
        <w:rPr>
          <w:color w:val="00000A"/>
        </w:rPr>
        <w:tab/>
        <w:t>1110205001/0710</w:t>
      </w:r>
    </w:p>
    <w:p w:rsidR="00A42C43" w:rsidRDefault="00662C96">
      <w:pPr>
        <w:tabs>
          <w:tab w:val="left" w:pos="1701"/>
        </w:tabs>
        <w:spacing w:line="276" w:lineRule="auto"/>
        <w:rPr>
          <w:color w:val="00000A"/>
        </w:rPr>
      </w:pPr>
      <w:r>
        <w:rPr>
          <w:color w:val="00000A"/>
        </w:rPr>
        <w:t>Zřízena zákonem č. 551/1991 Sb., o Všeobecné zdravotní pojišťovně České republiky, ve znění pozdějších předpisů</w:t>
      </w:r>
    </w:p>
    <w:p w:rsidR="00A42C43" w:rsidRDefault="00A42C43">
      <w:pPr>
        <w:tabs>
          <w:tab w:val="left" w:pos="1701"/>
        </w:tabs>
        <w:spacing w:line="276" w:lineRule="auto"/>
        <w:rPr>
          <w:color w:val="00000A"/>
        </w:rPr>
      </w:pPr>
    </w:p>
    <w:p w:rsidR="00A42C43" w:rsidRDefault="00662C96">
      <w:pPr>
        <w:tabs>
          <w:tab w:val="left" w:pos="1701"/>
        </w:tabs>
        <w:spacing w:line="276" w:lineRule="auto"/>
        <w:ind w:left="426" w:hanging="426"/>
        <w:rPr>
          <w:color w:val="00000A"/>
        </w:rPr>
      </w:pPr>
      <w:r>
        <w:rPr>
          <w:color w:val="00000A"/>
        </w:rPr>
        <w:t>(dále jen „</w:t>
      </w:r>
      <w:r>
        <w:rPr>
          <w:b/>
          <w:color w:val="00000A"/>
        </w:rPr>
        <w:t>VZP ČR</w:t>
      </w:r>
      <w:r>
        <w:rPr>
          <w:color w:val="00000A"/>
        </w:rPr>
        <w:t>“ nebo „</w:t>
      </w:r>
      <w:r>
        <w:rPr>
          <w:b/>
          <w:color w:val="00000A"/>
        </w:rPr>
        <w:t>Objednatel</w:t>
      </w:r>
      <w:r>
        <w:rPr>
          <w:color w:val="00000A"/>
        </w:rPr>
        <w:t>“)</w:t>
      </w:r>
    </w:p>
    <w:p w:rsidR="00A42C43" w:rsidRDefault="00662C96">
      <w:pPr>
        <w:spacing w:line="276" w:lineRule="auto"/>
        <w:jc w:val="center"/>
        <w:rPr>
          <w:b/>
        </w:rPr>
      </w:pPr>
      <w:r>
        <w:rPr>
          <w:b/>
        </w:rPr>
        <w:t xml:space="preserve">a </w:t>
      </w:r>
    </w:p>
    <w:p w:rsidR="00A42C43" w:rsidRDefault="00A42C43">
      <w:pPr>
        <w:spacing w:line="276" w:lineRule="auto"/>
        <w:ind w:left="1416" w:hanging="1132"/>
        <w:rPr>
          <w:sz w:val="22"/>
          <w:szCs w:val="22"/>
        </w:rPr>
      </w:pPr>
    </w:p>
    <w:p w:rsidR="00A42C43" w:rsidRDefault="00662C96">
      <w:pPr>
        <w:tabs>
          <w:tab w:val="left" w:pos="1701"/>
        </w:tabs>
        <w:spacing w:line="276" w:lineRule="auto"/>
        <w:ind w:left="425" w:hanging="426"/>
        <w:rPr>
          <w:b/>
        </w:rPr>
      </w:pPr>
      <w:r>
        <w:rPr>
          <w:b/>
        </w:rPr>
        <w:t xml:space="preserve">2. </w:t>
      </w:r>
      <w:r>
        <w:rPr>
          <w:b/>
          <w:color w:val="00000A"/>
        </w:rPr>
        <w:t>SG Solutions, s.r.o.</w:t>
      </w:r>
      <w:r>
        <w:rPr>
          <w:b/>
        </w:rPr>
        <w:t xml:space="preserve"> </w:t>
      </w:r>
    </w:p>
    <w:p w:rsidR="00A42C43" w:rsidRDefault="00662C96">
      <w:pPr>
        <w:tabs>
          <w:tab w:val="left" w:pos="1701"/>
        </w:tabs>
        <w:spacing w:line="276" w:lineRule="auto"/>
        <w:ind w:left="425" w:hanging="426"/>
      </w:pPr>
      <w:r>
        <w:t>se sídlem:</w:t>
      </w:r>
      <w:r>
        <w:tab/>
      </w:r>
      <w:r>
        <w:tab/>
      </w:r>
      <w:r>
        <w:tab/>
        <w:t>Plzeňská 3350/18, Smíchov, 150 00 Praha 5</w:t>
      </w:r>
    </w:p>
    <w:p w:rsidR="00A42C43" w:rsidRDefault="00662C96">
      <w:pPr>
        <w:tabs>
          <w:tab w:val="left" w:pos="1701"/>
        </w:tabs>
        <w:spacing w:line="276" w:lineRule="auto"/>
        <w:ind w:left="425" w:hanging="426"/>
      </w:pPr>
      <w:r>
        <w:t>kterou zastupuje:</w:t>
      </w:r>
      <w:r>
        <w:tab/>
      </w:r>
      <w:r>
        <w:tab/>
      </w:r>
      <w:r>
        <w:tab/>
        <w:t xml:space="preserve">Ing. Jindřich Kasal, jednatel </w:t>
      </w:r>
    </w:p>
    <w:p w:rsidR="00A42C43" w:rsidRDefault="00662C96">
      <w:pPr>
        <w:tabs>
          <w:tab w:val="left" w:pos="1701"/>
        </w:tabs>
        <w:spacing w:line="276" w:lineRule="auto"/>
        <w:ind w:left="425" w:hanging="426"/>
      </w:pPr>
      <w:r>
        <w:t>IČO:</w:t>
      </w:r>
      <w:r>
        <w:tab/>
      </w:r>
      <w:r>
        <w:tab/>
      </w:r>
      <w:r>
        <w:tab/>
      </w:r>
      <w:r>
        <w:tab/>
        <w:t xml:space="preserve">21053588 </w:t>
      </w:r>
    </w:p>
    <w:p w:rsidR="00A42C43" w:rsidRDefault="00662C96">
      <w:pPr>
        <w:tabs>
          <w:tab w:val="left" w:pos="1701"/>
        </w:tabs>
        <w:spacing w:line="276" w:lineRule="auto"/>
        <w:ind w:left="425" w:hanging="426"/>
      </w:pPr>
      <w:r>
        <w:t>DIČ:</w:t>
      </w:r>
      <w:r>
        <w:tab/>
      </w:r>
      <w:r>
        <w:tab/>
      </w:r>
      <w:r>
        <w:tab/>
      </w:r>
      <w:r>
        <w:tab/>
        <w:t xml:space="preserve">CZ21053588  </w:t>
      </w:r>
    </w:p>
    <w:p w:rsidR="00A42C43" w:rsidRDefault="00662C96">
      <w:pPr>
        <w:tabs>
          <w:tab w:val="left" w:pos="1701"/>
        </w:tabs>
        <w:spacing w:line="276" w:lineRule="auto"/>
        <w:ind w:left="425" w:hanging="426"/>
      </w:pPr>
      <w:r>
        <w:t>Bankovní spojení:</w:t>
      </w:r>
      <w:r>
        <w:tab/>
      </w:r>
      <w:r>
        <w:tab/>
      </w:r>
      <w:r>
        <w:tab/>
        <w:t xml:space="preserve">Komerční banka, a.s., Praha 1, Na Příkopě 33 </w:t>
      </w:r>
    </w:p>
    <w:p w:rsidR="00A42C43" w:rsidRDefault="00662C96">
      <w:pPr>
        <w:tabs>
          <w:tab w:val="left" w:pos="1701"/>
        </w:tabs>
        <w:spacing w:line="276" w:lineRule="auto"/>
        <w:ind w:left="425" w:hanging="426"/>
      </w:pPr>
      <w:bookmarkStart w:id="1" w:name="_heading=h.1fob9te" w:colFirst="0" w:colLast="0"/>
      <w:bookmarkEnd w:id="1"/>
      <w:r>
        <w:t>Číslo účtu:</w:t>
      </w:r>
      <w:r>
        <w:tab/>
      </w:r>
      <w:r>
        <w:tab/>
      </w:r>
      <w:r>
        <w:tab/>
        <w:t xml:space="preserve">131-2245400247/0100 </w:t>
      </w:r>
    </w:p>
    <w:p w:rsidR="00A42C43" w:rsidRDefault="00A42C43">
      <w:pPr>
        <w:tabs>
          <w:tab w:val="left" w:pos="1701"/>
        </w:tabs>
        <w:spacing w:line="276" w:lineRule="auto"/>
        <w:ind w:left="426" w:hanging="426"/>
      </w:pPr>
    </w:p>
    <w:p w:rsidR="00A42C43" w:rsidRDefault="00662C96">
      <w:pPr>
        <w:tabs>
          <w:tab w:val="left" w:pos="1701"/>
        </w:tabs>
        <w:spacing w:line="276" w:lineRule="auto"/>
      </w:pPr>
      <w:r>
        <w:t>Zapsaná v obchodním rejstříku vedeném Městským soudem v Praze, oddíl</w:t>
      </w:r>
      <w:r w:rsidR="00995AA8">
        <w:t xml:space="preserve"> </w:t>
      </w:r>
      <w:r>
        <w:t>C, vložka 396236</w:t>
      </w:r>
    </w:p>
    <w:p w:rsidR="00A42C43" w:rsidRDefault="00A42C43">
      <w:pPr>
        <w:tabs>
          <w:tab w:val="left" w:pos="1701"/>
        </w:tabs>
        <w:spacing w:line="276" w:lineRule="auto"/>
      </w:pPr>
    </w:p>
    <w:p w:rsidR="00A42C43" w:rsidRDefault="00662C96">
      <w:pPr>
        <w:tabs>
          <w:tab w:val="left" w:pos="1701"/>
        </w:tabs>
        <w:spacing w:line="276" w:lineRule="auto"/>
        <w:ind w:left="426" w:hanging="426"/>
      </w:pPr>
      <w:r>
        <w:t>(dále jen „</w:t>
      </w:r>
      <w:r>
        <w:rPr>
          <w:b/>
        </w:rPr>
        <w:t>Poskytovatel</w:t>
      </w:r>
      <w:r>
        <w:t>“)</w:t>
      </w:r>
    </w:p>
    <w:p w:rsidR="00A42C43" w:rsidRDefault="00A42C43">
      <w:pPr>
        <w:tabs>
          <w:tab w:val="left" w:pos="1701"/>
        </w:tabs>
        <w:spacing w:line="276" w:lineRule="auto"/>
        <w:ind w:left="426" w:hanging="426"/>
      </w:pPr>
    </w:p>
    <w:p w:rsidR="00A42C43" w:rsidRDefault="00662C96">
      <w:pPr>
        <w:tabs>
          <w:tab w:val="left" w:pos="1701"/>
        </w:tabs>
        <w:spacing w:line="276" w:lineRule="auto"/>
        <w:ind w:left="426" w:hanging="426"/>
      </w:pPr>
      <w:r>
        <w:t>(společně též „</w:t>
      </w:r>
      <w:r>
        <w:rPr>
          <w:b/>
        </w:rPr>
        <w:t>Smluvní strany</w:t>
      </w:r>
      <w:r>
        <w:t xml:space="preserve">“) </w:t>
      </w:r>
    </w:p>
    <w:p w:rsidR="00A42C43" w:rsidRDefault="00A42C43"/>
    <w:p w:rsidR="00A42C43" w:rsidRDefault="00A42C43"/>
    <w:p w:rsidR="00A42C43" w:rsidRDefault="00A42C43">
      <w:pPr>
        <w:tabs>
          <w:tab w:val="left" w:pos="1701"/>
        </w:tabs>
        <w:spacing w:after="120" w:line="276" w:lineRule="auto"/>
      </w:pPr>
    </w:p>
    <w:p w:rsidR="00A42C43" w:rsidRDefault="00A42C43">
      <w:pPr>
        <w:tabs>
          <w:tab w:val="left" w:pos="1701"/>
        </w:tabs>
        <w:spacing w:after="120" w:line="276" w:lineRule="auto"/>
      </w:pPr>
    </w:p>
    <w:p w:rsidR="00A42C43" w:rsidRDefault="00662C96">
      <w:pPr>
        <w:pBdr>
          <w:top w:val="nil"/>
          <w:left w:val="nil"/>
          <w:bottom w:val="nil"/>
          <w:right w:val="nil"/>
          <w:between w:val="nil"/>
        </w:pBdr>
        <w:spacing w:after="120" w:line="276" w:lineRule="auto"/>
        <w:ind w:left="502" w:hanging="502"/>
        <w:jc w:val="center"/>
        <w:rPr>
          <w:rFonts w:eastAsia="Arial" w:cs="Arial"/>
          <w:b/>
          <w:color w:val="000000"/>
          <w:szCs w:val="20"/>
        </w:rPr>
      </w:pPr>
      <w:r>
        <w:rPr>
          <w:rFonts w:eastAsia="Arial" w:cs="Arial"/>
          <w:b/>
          <w:color w:val="000000"/>
          <w:szCs w:val="20"/>
        </w:rPr>
        <w:t>Článek I. Úvodní ustanovení</w:t>
      </w:r>
    </w:p>
    <w:p w:rsidR="00A42C43" w:rsidRDefault="00662C96">
      <w:pPr>
        <w:numPr>
          <w:ilvl w:val="0"/>
          <w:numId w:val="12"/>
        </w:numPr>
        <w:spacing w:after="120" w:line="276" w:lineRule="auto"/>
        <w:ind w:left="284" w:hanging="284"/>
      </w:pPr>
      <w:r>
        <w:t>Tato Smlouva upravuje vztah mezi Objednatelem a Poskytovatelem, který vzešel z výsledku zadávacího řízení na veřejnou zakázku „</w:t>
      </w:r>
      <w:r>
        <w:rPr>
          <w:b/>
        </w:rPr>
        <w:t>Podpora statistického nástroje pro datamining a pokročilé analýzy</w:t>
      </w:r>
      <w:r>
        <w:t>“ evidovanou VZP ČR pod číslem 2300762 (dále jen „</w:t>
      </w:r>
      <w:r>
        <w:rPr>
          <w:b/>
        </w:rPr>
        <w:t>veřejná zakázka</w:t>
      </w:r>
      <w:r>
        <w:t>“).</w:t>
      </w:r>
    </w:p>
    <w:p w:rsidR="00A42C43" w:rsidRDefault="00662C96">
      <w:pPr>
        <w:numPr>
          <w:ilvl w:val="0"/>
          <w:numId w:val="12"/>
        </w:numPr>
        <w:spacing w:after="120" w:line="276" w:lineRule="auto"/>
        <w:ind w:left="284" w:hanging="284"/>
      </w:pPr>
      <w:r>
        <w:t xml:space="preserve">Tato Smlouva </w:t>
      </w:r>
      <w:r>
        <w:rPr>
          <w:color w:val="000000"/>
        </w:rPr>
        <w:t>stanovuje</w:t>
      </w:r>
      <w:r>
        <w:t xml:space="preserve"> základní obsah právního vztahu na poskytování požadovaného předmětu plnění mezi Smluvními stranami. Ustanovení této Smlouvy je třeba vykládat v souladu se zadávacími podmínkami výše uvedené veřejné zakázky. </w:t>
      </w:r>
    </w:p>
    <w:p w:rsidR="00A42C43" w:rsidRDefault="00662C96">
      <w:pPr>
        <w:numPr>
          <w:ilvl w:val="0"/>
          <w:numId w:val="12"/>
        </w:numPr>
        <w:spacing w:after="120" w:line="276" w:lineRule="auto"/>
        <w:ind w:left="284" w:hanging="284"/>
      </w:pPr>
      <w:bookmarkStart w:id="2" w:name="_heading=h.3znysh7" w:colFirst="0" w:colLast="0"/>
      <w:bookmarkEnd w:id="2"/>
      <w:r>
        <w:lastRenderedPageBreak/>
        <w:t>Poskytovatel výslovně prohlašuje, že se náležitě seznámil se všemi zadávacími podmínkami této veřejné zakázky, že jsou mu známé veškeré technické, kvalitativní a jiné podmínky plnění stanovené Objednatelem, že disponuje kapacitami a odbornými znalostmi, které jsou nezbytné k poskytnutí plnění dle této Smlouvy a za ceny sjednané v této Smlouvě a že je způsobilý ke splnění všech svých závazků podle této Smlouvy.</w:t>
      </w:r>
    </w:p>
    <w:p w:rsidR="00A42C43" w:rsidRDefault="00662C96">
      <w:pPr>
        <w:numPr>
          <w:ilvl w:val="0"/>
          <w:numId w:val="12"/>
        </w:numPr>
        <w:spacing w:after="120" w:line="276" w:lineRule="auto"/>
        <w:ind w:left="284" w:hanging="284"/>
      </w:pPr>
      <w:r>
        <w:t>Poskytovatel prohlašuje, že je oprávněn a schopen po stránce technické i právní poskytovat Objednateli plnění dle této Smlouvy.</w:t>
      </w:r>
    </w:p>
    <w:p w:rsidR="00A42C43" w:rsidRDefault="00662C96">
      <w:pPr>
        <w:numPr>
          <w:ilvl w:val="0"/>
          <w:numId w:val="12"/>
        </w:numPr>
        <w:spacing w:after="120" w:line="276" w:lineRule="auto"/>
        <w:ind w:left="284" w:hanging="284"/>
      </w:pPr>
      <w:r>
        <w:t>Poskytovatel prohlašuje, že jím poskytované plnění podle této Smlouvy bude odpovídat všem požadavkům vyplývajícím z platných právních předpisů, které se na předmětné plnění vztahují a že je schopen také tak všechna plnění podle této Smlouvy poskytovat.</w:t>
      </w:r>
    </w:p>
    <w:p w:rsidR="00A42C43" w:rsidRDefault="00A42C43">
      <w:pPr>
        <w:spacing w:after="120" w:line="276" w:lineRule="auto"/>
      </w:pPr>
    </w:p>
    <w:p w:rsidR="00A42C43" w:rsidRDefault="00662C96">
      <w:pPr>
        <w:spacing w:after="120" w:line="276" w:lineRule="auto"/>
        <w:jc w:val="center"/>
        <w:rPr>
          <w:b/>
        </w:rPr>
      </w:pPr>
      <w:r>
        <w:rPr>
          <w:b/>
        </w:rPr>
        <w:t>Článek II. Účel a předmět Smlouvy</w:t>
      </w:r>
    </w:p>
    <w:p w:rsidR="00A42C43" w:rsidRDefault="00662C96">
      <w:pPr>
        <w:numPr>
          <w:ilvl w:val="0"/>
          <w:numId w:val="3"/>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Objednatel je oprávněným uživatelem statistického nástroje pro datamining a pokročilé analýzy s obchodním názvem (označením) SPSS Modeler Professional vč. Sentinel RMS License Manager, jehož výrobcem je IBM (dále jen „</w:t>
      </w:r>
      <w:r>
        <w:rPr>
          <w:rFonts w:eastAsia="Arial" w:cs="Arial"/>
          <w:b/>
          <w:color w:val="000000"/>
          <w:szCs w:val="20"/>
        </w:rPr>
        <w:t>SW</w:t>
      </w:r>
      <w:r>
        <w:rPr>
          <w:rFonts w:eastAsia="Arial" w:cs="Arial"/>
          <w:color w:val="000000"/>
          <w:szCs w:val="20"/>
        </w:rPr>
        <w:t>“), který Objednateli dodala společnost S&amp;G Consulting s.r.o., IČO 241 44 592 na základě Smlouvy na pořízení statistického nástroje pro datamining a pokročilé analýzy č. 1800811/4100054766, uzavřené dne 11. 2. 2020 (dále jen „</w:t>
      </w:r>
      <w:r>
        <w:rPr>
          <w:rFonts w:eastAsia="Arial" w:cs="Arial"/>
          <w:b/>
          <w:color w:val="000000"/>
          <w:szCs w:val="20"/>
        </w:rPr>
        <w:t>původní smlouva</w:t>
      </w:r>
      <w:r>
        <w:rPr>
          <w:rFonts w:eastAsia="Arial" w:cs="Arial"/>
          <w:color w:val="000000"/>
          <w:szCs w:val="20"/>
        </w:rPr>
        <w:t>“). Současně byla podle původní smlouvy SW poskytována podpora, která skonč</w:t>
      </w:r>
      <w:r w:rsidR="00995AA8">
        <w:rPr>
          <w:rFonts w:eastAsia="Arial" w:cs="Arial"/>
          <w:color w:val="000000"/>
          <w:szCs w:val="20"/>
        </w:rPr>
        <w:t>ila</w:t>
      </w:r>
      <w:r>
        <w:rPr>
          <w:rFonts w:eastAsia="Arial" w:cs="Arial"/>
          <w:color w:val="000000"/>
          <w:szCs w:val="20"/>
        </w:rPr>
        <w:t xml:space="preserve"> dnem 14. 4. 2024.</w:t>
      </w:r>
    </w:p>
    <w:p w:rsidR="00A42C43" w:rsidRDefault="00662C96">
      <w:pPr>
        <w:numPr>
          <w:ilvl w:val="0"/>
          <w:numId w:val="3"/>
        </w:numPr>
        <w:pBdr>
          <w:top w:val="nil"/>
          <w:left w:val="nil"/>
          <w:bottom w:val="nil"/>
          <w:right w:val="nil"/>
          <w:between w:val="nil"/>
        </w:pBdr>
        <w:spacing w:after="120" w:line="276" w:lineRule="auto"/>
        <w:rPr>
          <w:rFonts w:eastAsia="Arial" w:cs="Arial"/>
          <w:color w:val="000000"/>
          <w:szCs w:val="20"/>
        </w:rPr>
      </w:pPr>
      <w:bookmarkStart w:id="3" w:name="_heading=h.2et92p0" w:colFirst="0" w:colLast="0"/>
      <w:bookmarkEnd w:id="3"/>
      <w:r>
        <w:rPr>
          <w:rFonts w:eastAsia="Arial" w:cs="Arial"/>
          <w:color w:val="000000"/>
          <w:szCs w:val="20"/>
        </w:rPr>
        <w:t>Užití SW Objednatelem (licence) se řídí příslušným ustanovením původní smlouvy, podle níž byla licence k SW Objednateli poskytnuta na dobu trvání majetkových práv autora, a to jako nevýhradní, nepřevoditelná a ke způsobu užití v rámci VZP ČR podle jejích potřeb a oprávnění k užití všech případných úprav, nových verzí (update, upgrade, apod.) SW, to vše v licenčním rozsahu umožňujícím instalaci SW na jakémkoliv serveru Objednatele s přístupem pro 4 uživatele dle výběru Objednatele a práci 4 uživatelů podle výběru Objednatele zároveň (licence Concurrent User).</w:t>
      </w:r>
    </w:p>
    <w:p w:rsidR="00A42C43" w:rsidRDefault="00662C96">
      <w:pPr>
        <w:numPr>
          <w:ilvl w:val="0"/>
          <w:numId w:val="3"/>
        </w:numPr>
        <w:pBdr>
          <w:top w:val="nil"/>
          <w:left w:val="nil"/>
          <w:bottom w:val="nil"/>
          <w:right w:val="nil"/>
          <w:between w:val="nil"/>
        </w:pBdr>
        <w:spacing w:after="120" w:line="276" w:lineRule="auto"/>
        <w:ind w:left="357" w:hanging="357"/>
        <w:rPr>
          <w:rFonts w:eastAsia="Arial" w:cs="Arial"/>
          <w:color w:val="000000"/>
          <w:szCs w:val="20"/>
        </w:rPr>
      </w:pPr>
      <w:bookmarkStart w:id="4" w:name="_heading=h.tyjcwt" w:colFirst="0" w:colLast="0"/>
      <w:bookmarkEnd w:id="4"/>
      <w:r>
        <w:rPr>
          <w:rFonts w:eastAsia="Arial" w:cs="Arial"/>
          <w:color w:val="000000"/>
          <w:szCs w:val="20"/>
        </w:rPr>
        <w:t xml:space="preserve">Účelem a cílem této Smlouvy je, aby plněním podle této Smlouvy byl provoz SW v příslušném rozsahu a v příslušném prostředí informačního systému Objednatele spolehlivě a bezchybně zajištěn. </w:t>
      </w:r>
    </w:p>
    <w:p w:rsidR="00A42C43" w:rsidRDefault="00662C96">
      <w:pPr>
        <w:numPr>
          <w:ilvl w:val="0"/>
          <w:numId w:val="3"/>
        </w:numPr>
        <w:pBdr>
          <w:top w:val="nil"/>
          <w:left w:val="nil"/>
          <w:bottom w:val="nil"/>
          <w:right w:val="nil"/>
          <w:between w:val="nil"/>
        </w:pBdr>
        <w:spacing w:after="120" w:line="276" w:lineRule="auto"/>
        <w:ind w:left="357" w:hanging="357"/>
        <w:rPr>
          <w:rFonts w:eastAsia="Arial" w:cs="Arial"/>
          <w:color w:val="000000"/>
          <w:szCs w:val="20"/>
        </w:rPr>
      </w:pPr>
      <w:r>
        <w:rPr>
          <w:rFonts w:eastAsia="Arial" w:cs="Arial"/>
          <w:color w:val="000000"/>
          <w:szCs w:val="20"/>
        </w:rPr>
        <w:t>Předmětem této Smlouvy je:</w:t>
      </w:r>
    </w:p>
    <w:p w:rsidR="00A42C43" w:rsidRDefault="00662C96">
      <w:pPr>
        <w:numPr>
          <w:ilvl w:val="1"/>
          <w:numId w:val="17"/>
        </w:numPr>
        <w:pBdr>
          <w:top w:val="nil"/>
          <w:left w:val="nil"/>
          <w:bottom w:val="nil"/>
          <w:right w:val="nil"/>
          <w:between w:val="nil"/>
        </w:pBdr>
        <w:spacing w:after="120" w:line="276" w:lineRule="auto"/>
        <w:ind w:left="850" w:hanging="425"/>
        <w:rPr>
          <w:rFonts w:eastAsia="Arial" w:cs="Arial"/>
          <w:color w:val="000000"/>
          <w:szCs w:val="20"/>
        </w:rPr>
      </w:pPr>
      <w:r>
        <w:rPr>
          <w:rFonts w:eastAsia="Arial" w:cs="Arial"/>
          <w:color w:val="000000"/>
          <w:szCs w:val="20"/>
        </w:rPr>
        <w:t>na straně jedné závazek Poskytovatele poskytovat pro Objednatele plnění podle této Smlouvy,</w:t>
      </w:r>
    </w:p>
    <w:p w:rsidR="00A42C43" w:rsidRDefault="00662C96">
      <w:pPr>
        <w:numPr>
          <w:ilvl w:val="1"/>
          <w:numId w:val="17"/>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na straně druhé závazek Objednatele Poskytovateli za řádně splněná plnění dle této Smlouvy zaplatit cenu ve výši stanovené touto Smlouvou nebo podle této Smlouvy,</w:t>
      </w:r>
    </w:p>
    <w:p w:rsidR="00A42C43" w:rsidRDefault="00662C96">
      <w:pPr>
        <w:spacing w:after="120" w:line="276" w:lineRule="auto"/>
        <w:ind w:firstLine="426"/>
      </w:pPr>
      <w:r>
        <w:t>to vše za podmínek stanovených dále v této Smlouvě.</w:t>
      </w:r>
    </w:p>
    <w:p w:rsidR="00A42C43" w:rsidRDefault="00A42C43">
      <w:pPr>
        <w:spacing w:after="120" w:line="276" w:lineRule="auto"/>
        <w:rPr>
          <w:b/>
        </w:rPr>
      </w:pPr>
    </w:p>
    <w:p w:rsidR="00A42C43" w:rsidRDefault="00662C96">
      <w:pPr>
        <w:spacing w:after="120" w:line="276" w:lineRule="auto"/>
        <w:jc w:val="center"/>
        <w:rPr>
          <w:b/>
        </w:rPr>
      </w:pPr>
      <w:bookmarkStart w:id="5" w:name="_heading=h.3dy6vkm" w:colFirst="0" w:colLast="0"/>
      <w:bookmarkEnd w:id="5"/>
      <w:r>
        <w:rPr>
          <w:b/>
        </w:rPr>
        <w:t>Článek III. Předmět plnění</w:t>
      </w:r>
    </w:p>
    <w:p w:rsidR="00A42C43" w:rsidRDefault="00662C96">
      <w:pPr>
        <w:numPr>
          <w:ilvl w:val="0"/>
          <w:numId w:val="6"/>
        </w:numPr>
        <w:pBdr>
          <w:top w:val="nil"/>
          <w:left w:val="nil"/>
          <w:bottom w:val="nil"/>
          <w:right w:val="nil"/>
          <w:between w:val="nil"/>
        </w:pBdr>
        <w:spacing w:after="120" w:line="276" w:lineRule="auto"/>
        <w:rPr>
          <w:rFonts w:eastAsia="Arial" w:cs="Arial"/>
          <w:color w:val="000000"/>
          <w:szCs w:val="20"/>
        </w:rPr>
      </w:pPr>
      <w:bookmarkStart w:id="6" w:name="_heading=h.1t3h5sf" w:colFirst="0" w:colLast="0"/>
      <w:bookmarkEnd w:id="6"/>
      <w:r>
        <w:rPr>
          <w:rFonts w:eastAsia="Arial" w:cs="Arial"/>
          <w:color w:val="000000"/>
          <w:szCs w:val="20"/>
        </w:rPr>
        <w:t>Předmětem plnění podle této Smlouvy je zajištění poskytování / poskytování (dále jen „</w:t>
      </w:r>
      <w:r>
        <w:rPr>
          <w:rFonts w:eastAsia="Arial" w:cs="Arial"/>
          <w:b/>
          <w:color w:val="000000"/>
          <w:szCs w:val="20"/>
        </w:rPr>
        <w:t>poskytování</w:t>
      </w:r>
      <w:r>
        <w:rPr>
          <w:rFonts w:eastAsia="Arial" w:cs="Arial"/>
          <w:color w:val="000000"/>
          <w:szCs w:val="20"/>
        </w:rPr>
        <w:t>“) podpory SW, která zahrnuje:</w:t>
      </w:r>
    </w:p>
    <w:p w:rsidR="00A42C43" w:rsidRDefault="00662C96">
      <w:pPr>
        <w:numPr>
          <w:ilvl w:val="1"/>
          <w:numId w:val="6"/>
        </w:numPr>
        <w:pBdr>
          <w:top w:val="nil"/>
          <w:left w:val="nil"/>
          <w:bottom w:val="nil"/>
          <w:right w:val="nil"/>
          <w:between w:val="nil"/>
        </w:pBdr>
        <w:spacing w:after="120" w:line="276" w:lineRule="auto"/>
        <w:rPr>
          <w:rFonts w:eastAsia="Arial" w:cs="Arial"/>
          <w:color w:val="000000"/>
          <w:szCs w:val="20"/>
        </w:rPr>
      </w:pPr>
      <w:r>
        <w:rPr>
          <w:rFonts w:eastAsia="Arial" w:cs="Arial"/>
          <w:b/>
          <w:color w:val="000000"/>
          <w:szCs w:val="20"/>
        </w:rPr>
        <w:t>řešení incidentů</w:t>
      </w:r>
      <w:r>
        <w:rPr>
          <w:rFonts w:eastAsia="Arial" w:cs="Arial"/>
          <w:color w:val="000000"/>
          <w:szCs w:val="20"/>
        </w:rPr>
        <w:t>, které omezují nebo znemožňují použití SW nebo způsobují nekorektní funkčnosti, včetně jejich odstranění a obnovy provozu v případě jeho výpadku. Poskytování této podpory bude realizováno na vyžádání na základě jednotlivých servisních požadavků Objednatele, a to kdykoliv po dobu stanovenou pro poskytování této podpory touto Smlouvou.</w:t>
      </w:r>
    </w:p>
    <w:p w:rsidR="00A42C43" w:rsidRDefault="00662C96">
      <w:pPr>
        <w:pBdr>
          <w:top w:val="nil"/>
          <w:left w:val="nil"/>
          <w:bottom w:val="nil"/>
          <w:right w:val="nil"/>
          <w:between w:val="nil"/>
        </w:pBdr>
        <w:spacing w:after="120" w:line="276" w:lineRule="auto"/>
        <w:ind w:left="1425"/>
        <w:rPr>
          <w:rFonts w:eastAsia="Arial" w:cs="Arial"/>
          <w:color w:val="000000"/>
          <w:szCs w:val="20"/>
        </w:rPr>
      </w:pPr>
      <w:r>
        <w:rPr>
          <w:rFonts w:eastAsia="Arial" w:cs="Arial"/>
          <w:color w:val="000000"/>
          <w:szCs w:val="20"/>
        </w:rPr>
        <w:t xml:space="preserve">Incidentem se rozumí neplánované přerušení služeb SW anebo snížení kvality jeho služeb, které je způsobeno odchylkou od standardního chování SW. </w:t>
      </w:r>
    </w:p>
    <w:p w:rsidR="00A42C43" w:rsidRDefault="00662C96">
      <w:pPr>
        <w:pBdr>
          <w:top w:val="nil"/>
          <w:left w:val="nil"/>
          <w:bottom w:val="nil"/>
          <w:right w:val="nil"/>
          <w:between w:val="nil"/>
        </w:pBdr>
        <w:spacing w:after="120" w:line="276" w:lineRule="auto"/>
        <w:ind w:left="1425"/>
        <w:rPr>
          <w:rFonts w:eastAsia="Arial" w:cs="Arial"/>
          <w:color w:val="000000"/>
          <w:szCs w:val="20"/>
        </w:rPr>
      </w:pPr>
      <w:r>
        <w:rPr>
          <w:rFonts w:eastAsia="Arial" w:cs="Arial"/>
          <w:color w:val="000000"/>
          <w:szCs w:val="20"/>
        </w:rPr>
        <w:t>Incident zahrnuje všechny důvody, pro které SW nefunguje správně.</w:t>
      </w:r>
    </w:p>
    <w:p w:rsidR="00A42C43" w:rsidRDefault="00662C96">
      <w:pPr>
        <w:numPr>
          <w:ilvl w:val="1"/>
          <w:numId w:val="6"/>
        </w:numPr>
        <w:pBdr>
          <w:top w:val="nil"/>
          <w:left w:val="nil"/>
          <w:bottom w:val="nil"/>
          <w:right w:val="nil"/>
          <w:between w:val="nil"/>
        </w:pBdr>
        <w:spacing w:after="120" w:line="276" w:lineRule="auto"/>
        <w:rPr>
          <w:rFonts w:eastAsia="Arial" w:cs="Arial"/>
          <w:color w:val="000000"/>
          <w:szCs w:val="20"/>
        </w:rPr>
      </w:pPr>
      <w:r>
        <w:rPr>
          <w:rFonts w:eastAsia="Arial" w:cs="Arial"/>
          <w:b/>
          <w:color w:val="000000"/>
          <w:szCs w:val="20"/>
        </w:rPr>
        <w:lastRenderedPageBreak/>
        <w:t>umožnění přístupu Objednateli k nejnovějším verzím SW, včetně opravných patches</w:t>
      </w:r>
      <w:r>
        <w:rPr>
          <w:rFonts w:eastAsia="Arial" w:cs="Arial"/>
          <w:color w:val="000000"/>
          <w:szCs w:val="20"/>
        </w:rPr>
        <w:t xml:space="preserve"> (dále vše též jen „</w:t>
      </w:r>
      <w:r>
        <w:rPr>
          <w:rFonts w:eastAsia="Arial" w:cs="Arial"/>
          <w:b/>
          <w:color w:val="000000"/>
          <w:szCs w:val="20"/>
        </w:rPr>
        <w:t>upgrade/update</w:t>
      </w:r>
      <w:r>
        <w:rPr>
          <w:rFonts w:eastAsia="Arial" w:cs="Arial"/>
          <w:color w:val="000000"/>
          <w:szCs w:val="20"/>
        </w:rPr>
        <w:t>“). Poskytovatel bude Objednateli v rámci součinnosti o upgrade/update neprodleně po jejich vydání informovat notifikačním e-mailem zaslaným Pověřené osobě Objednatele tak, aby Objednatel mohl příslušnou aktuální verzi včas užít.</w:t>
      </w:r>
    </w:p>
    <w:p w:rsidR="00A42C43" w:rsidRDefault="00662C96">
      <w:pPr>
        <w:numPr>
          <w:ilvl w:val="1"/>
          <w:numId w:val="6"/>
        </w:numPr>
        <w:pBdr>
          <w:top w:val="nil"/>
          <w:left w:val="nil"/>
          <w:bottom w:val="nil"/>
          <w:right w:val="nil"/>
          <w:between w:val="nil"/>
        </w:pBdr>
        <w:rPr>
          <w:rFonts w:eastAsia="Arial" w:cs="Arial"/>
          <w:b/>
          <w:color w:val="000000"/>
          <w:szCs w:val="20"/>
        </w:rPr>
      </w:pPr>
      <w:r>
        <w:rPr>
          <w:rFonts w:eastAsia="Arial" w:cs="Arial"/>
          <w:b/>
          <w:color w:val="000000"/>
          <w:szCs w:val="20"/>
        </w:rPr>
        <w:t xml:space="preserve">poskytování konzultačních služeb. </w:t>
      </w:r>
      <w:r>
        <w:rPr>
          <w:rFonts w:eastAsia="Arial" w:cs="Arial"/>
          <w:color w:val="000000"/>
          <w:szCs w:val="20"/>
        </w:rPr>
        <w:t>Poskytovatel bude poskytovat Objednateli konzultační služby v rámci splnění jeho závazků vyplývajících z této Smlouvy, a to zejména formou odborných konzultací v případech stanovených touto Smlouvou, tj.:</w:t>
      </w:r>
    </w:p>
    <w:p w:rsidR="00A42C43" w:rsidRDefault="00662C96">
      <w:pPr>
        <w:pBdr>
          <w:top w:val="nil"/>
          <w:left w:val="nil"/>
          <w:bottom w:val="nil"/>
          <w:right w:val="nil"/>
          <w:between w:val="nil"/>
        </w:pBdr>
        <w:spacing w:before="120" w:after="120" w:line="276" w:lineRule="auto"/>
        <w:ind w:left="1423"/>
        <w:rPr>
          <w:rFonts w:eastAsia="Arial" w:cs="Arial"/>
          <w:color w:val="000000"/>
          <w:szCs w:val="20"/>
        </w:rPr>
      </w:pPr>
      <w:r>
        <w:rPr>
          <w:rFonts w:eastAsia="Arial" w:cs="Arial"/>
          <w:color w:val="000000"/>
          <w:szCs w:val="20"/>
        </w:rPr>
        <w:t>a.</w:t>
      </w:r>
      <w:r>
        <w:rPr>
          <w:rFonts w:eastAsia="Arial" w:cs="Arial"/>
          <w:color w:val="000000"/>
          <w:szCs w:val="20"/>
        </w:rPr>
        <w:tab/>
        <w:t>informacemi o vydání upgrade/update,</w:t>
      </w:r>
    </w:p>
    <w:p w:rsidR="00A42C43" w:rsidRDefault="00662C96">
      <w:pPr>
        <w:pBdr>
          <w:top w:val="nil"/>
          <w:left w:val="nil"/>
          <w:bottom w:val="nil"/>
          <w:right w:val="nil"/>
          <w:between w:val="nil"/>
        </w:pBdr>
        <w:spacing w:after="120" w:line="276" w:lineRule="auto"/>
        <w:ind w:left="1423"/>
        <w:rPr>
          <w:rFonts w:eastAsia="Arial" w:cs="Arial"/>
          <w:color w:val="000000"/>
          <w:szCs w:val="20"/>
        </w:rPr>
      </w:pPr>
      <w:r>
        <w:rPr>
          <w:rFonts w:eastAsia="Arial" w:cs="Arial"/>
          <w:color w:val="000000"/>
          <w:szCs w:val="20"/>
        </w:rPr>
        <w:t>b.</w:t>
      </w:r>
      <w:r>
        <w:rPr>
          <w:rFonts w:eastAsia="Arial" w:cs="Arial"/>
          <w:color w:val="000000"/>
          <w:szCs w:val="20"/>
        </w:rPr>
        <w:tab/>
        <w:t>při instalaci upgrade/update.</w:t>
      </w:r>
    </w:p>
    <w:p w:rsidR="00A42C43" w:rsidRDefault="00662C96">
      <w:pPr>
        <w:numPr>
          <w:ilvl w:val="1"/>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poskytování podpory, která se v ostatním řídí licenčními podmínkami výrobce, které tvoří Přílohu č. 2 této Smlouvy (v aktuální verzi ke dni uzavření Smlouvy) a jsou dostupné na adrese: </w:t>
      </w:r>
      <w:hyperlink r:id="rId8">
        <w:r>
          <w:rPr>
            <w:color w:val="1155CC"/>
            <w:u w:val="single"/>
          </w:rPr>
          <w:t>https://www.ibm.com/support/customer/csol/terms/?id=i125-3301&amp;lc=en</w:t>
        </w:r>
      </w:hyperlink>
    </w:p>
    <w:p w:rsidR="00A42C43" w:rsidRDefault="00662C96">
      <w:pPr>
        <w:pBdr>
          <w:top w:val="nil"/>
          <w:left w:val="nil"/>
          <w:bottom w:val="nil"/>
          <w:right w:val="nil"/>
          <w:between w:val="nil"/>
        </w:pBdr>
        <w:spacing w:after="120" w:line="276" w:lineRule="auto"/>
        <w:ind w:left="360"/>
        <w:rPr>
          <w:rFonts w:eastAsia="Arial" w:cs="Arial"/>
          <w:color w:val="000000"/>
          <w:szCs w:val="20"/>
        </w:rPr>
      </w:pPr>
      <w:r>
        <w:rPr>
          <w:rFonts w:eastAsia="Arial" w:cs="Arial"/>
          <w:color w:val="000000"/>
          <w:szCs w:val="20"/>
        </w:rPr>
        <w:t>(dále vše jen „</w:t>
      </w:r>
      <w:r>
        <w:rPr>
          <w:rFonts w:eastAsia="Arial" w:cs="Arial"/>
          <w:b/>
          <w:color w:val="000000"/>
          <w:szCs w:val="20"/>
        </w:rPr>
        <w:t>podpora</w:t>
      </w:r>
      <w:r>
        <w:rPr>
          <w:rFonts w:eastAsia="Arial" w:cs="Arial"/>
          <w:color w:val="000000"/>
          <w:szCs w:val="20"/>
        </w:rPr>
        <w:t>“).</w:t>
      </w:r>
    </w:p>
    <w:p w:rsidR="00A42C43" w:rsidRDefault="00662C96">
      <w:pPr>
        <w:numPr>
          <w:ilvl w:val="0"/>
          <w:numId w:val="6"/>
        </w:numPr>
        <w:pBdr>
          <w:top w:val="nil"/>
          <w:left w:val="nil"/>
          <w:bottom w:val="nil"/>
          <w:right w:val="nil"/>
          <w:between w:val="nil"/>
        </w:pBdr>
        <w:spacing w:after="120" w:line="276" w:lineRule="auto"/>
        <w:ind w:left="357" w:hanging="357"/>
        <w:rPr>
          <w:rFonts w:eastAsia="Arial" w:cs="Arial"/>
          <w:color w:val="000000"/>
          <w:szCs w:val="20"/>
        </w:rPr>
      </w:pPr>
      <w:r>
        <w:rPr>
          <w:rFonts w:eastAsia="Arial" w:cs="Arial"/>
          <w:color w:val="000000"/>
          <w:szCs w:val="20"/>
        </w:rPr>
        <w:t>Podpora podle této Smlouvy bude poskytována SW a jeho</w:t>
      </w:r>
      <w:r>
        <w:rPr>
          <w:rFonts w:eastAsia="Arial" w:cs="Arial"/>
          <w:b/>
          <w:color w:val="000000"/>
          <w:szCs w:val="20"/>
        </w:rPr>
        <w:t xml:space="preserve"> </w:t>
      </w:r>
      <w:r>
        <w:rPr>
          <w:rFonts w:eastAsia="Arial" w:cs="Arial"/>
          <w:color w:val="000000"/>
          <w:szCs w:val="20"/>
        </w:rPr>
        <w:t>upgrades/updates poskytnutým v rámci podpory.</w:t>
      </w:r>
    </w:p>
    <w:p w:rsidR="00A42C43" w:rsidRDefault="00662C96">
      <w:pPr>
        <w:numPr>
          <w:ilvl w:val="0"/>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Podpora bude poskytována v režimu 5 x 8 (tj. v pracovních dny v době od 8:00 – 16:00 hod.).</w:t>
      </w:r>
    </w:p>
    <w:p w:rsidR="00A42C43" w:rsidRDefault="00662C96">
      <w:pPr>
        <w:numPr>
          <w:ilvl w:val="0"/>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Upgrade/updates SW (včetně příslušné dokumentace) a další plnění v rámci poskytování podpory SW Objednatel získá následujícím způsobem: </w:t>
      </w:r>
    </w:p>
    <w:p w:rsidR="00A42C43" w:rsidRDefault="00662C96">
      <w:pPr>
        <w:numPr>
          <w:ilvl w:val="1"/>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Licenční klíč bude zaslán na emailovou adresu specifikovanou zadavatelem </w:t>
      </w:r>
      <w:proofErr w:type="spellStart"/>
      <w:r>
        <w:rPr>
          <w:rFonts w:eastAsia="Arial" w:cs="Arial"/>
          <w:color w:val="000000"/>
          <w:szCs w:val="20"/>
        </w:rPr>
        <w:t>bezodkladu</w:t>
      </w:r>
      <w:proofErr w:type="spellEnd"/>
      <w:r>
        <w:rPr>
          <w:rFonts w:eastAsia="Arial" w:cs="Arial"/>
          <w:color w:val="000000"/>
          <w:szCs w:val="20"/>
        </w:rPr>
        <w:t xml:space="preserve"> po akceptaci dodávky.</w:t>
      </w:r>
    </w:p>
    <w:p w:rsidR="00A42C43" w:rsidRDefault="00662C96">
      <w:pPr>
        <w:numPr>
          <w:ilvl w:val="1"/>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Instalační média jsou dostupná pro zadavatele na URL:</w:t>
      </w:r>
      <w:r>
        <w:t xml:space="preserve"> </w:t>
      </w:r>
      <w:hyperlink r:id="rId9">
        <w:r>
          <w:rPr>
            <w:rFonts w:eastAsia="Arial" w:cs="Arial"/>
            <w:color w:val="1155CC"/>
            <w:szCs w:val="20"/>
            <w:u w:val="single"/>
          </w:rPr>
          <w:t>https://www.ibm.com/software/passportadvantage/pao_customer.html</w:t>
        </w:r>
      </w:hyperlink>
    </w:p>
    <w:p w:rsidR="00A42C43" w:rsidRDefault="00662C96">
      <w:pPr>
        <w:numPr>
          <w:ilvl w:val="0"/>
          <w:numId w:val="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Komunikace v rámci poskytování podpory SW bude realizována způsobem uvedeným v čl. IV. této Smlouvy. </w:t>
      </w:r>
    </w:p>
    <w:p w:rsidR="00A42C43" w:rsidRDefault="00A42C43">
      <w:pPr>
        <w:pBdr>
          <w:top w:val="nil"/>
          <w:left w:val="nil"/>
          <w:bottom w:val="nil"/>
          <w:right w:val="nil"/>
          <w:between w:val="nil"/>
        </w:pBdr>
        <w:spacing w:after="120" w:line="276" w:lineRule="auto"/>
        <w:ind w:left="357"/>
        <w:rPr>
          <w:rFonts w:eastAsia="Arial" w:cs="Arial"/>
          <w:b/>
          <w:color w:val="000000"/>
          <w:szCs w:val="20"/>
        </w:rPr>
      </w:pPr>
    </w:p>
    <w:p w:rsidR="00A42C43" w:rsidRDefault="00662C96">
      <w:pPr>
        <w:spacing w:after="120" w:line="276" w:lineRule="auto"/>
        <w:jc w:val="center"/>
        <w:rPr>
          <w:b/>
        </w:rPr>
      </w:pPr>
      <w:r>
        <w:rPr>
          <w:b/>
        </w:rPr>
        <w:t>Článek IV. Doba, způsob a místo plnění</w:t>
      </w:r>
    </w:p>
    <w:p w:rsidR="00A42C43" w:rsidRDefault="00662C96">
      <w:pPr>
        <w:numPr>
          <w:ilvl w:val="0"/>
          <w:numId w:val="2"/>
        </w:numPr>
        <w:pBdr>
          <w:top w:val="nil"/>
          <w:left w:val="nil"/>
          <w:bottom w:val="nil"/>
          <w:right w:val="nil"/>
          <w:between w:val="nil"/>
        </w:pBdr>
        <w:spacing w:after="120" w:line="276" w:lineRule="auto"/>
      </w:pPr>
      <w:r>
        <w:t>Poskytovatel se zavazuje poskytovat Objednateli podporu dle této Smlouvy po dobu 48 kalendářních měsíců. Poskytovatel je povinen zahájit poskytování podpory prvního dne následujícího po nabytí účinnosti této Smlouvy, nejdříve však dnem 15. 4. 2024 a poskytovat podporu za podmínek stanovených touto Smlouvou po celou dobu účinnosti této Smlouvy.</w:t>
      </w:r>
    </w:p>
    <w:p w:rsidR="00A42C43" w:rsidRDefault="00662C96">
      <w:pPr>
        <w:numPr>
          <w:ilvl w:val="0"/>
          <w:numId w:val="2"/>
        </w:numPr>
        <w:pBdr>
          <w:top w:val="nil"/>
          <w:left w:val="nil"/>
          <w:bottom w:val="nil"/>
          <w:right w:val="nil"/>
          <w:between w:val="nil"/>
        </w:pBdr>
        <w:spacing w:after="120" w:line="276" w:lineRule="auto"/>
      </w:pPr>
      <w:r>
        <w:t xml:space="preserve">Podpora bude Poskytovatelem poskytována průběžně, a to řádně a včas a v termínech stanovených touto Smlouvou nebo podle této Smlouvy, a to zpravidla na základě příslušného servisního požadavku Objednatele. </w:t>
      </w:r>
    </w:p>
    <w:p w:rsidR="00A42C43" w:rsidRDefault="00662C96">
      <w:pPr>
        <w:tabs>
          <w:tab w:val="left" w:pos="567"/>
        </w:tabs>
        <w:spacing w:after="120" w:line="276" w:lineRule="auto"/>
        <w:ind w:left="360"/>
      </w:pPr>
      <w:r>
        <w:t>Objednatel bude hlásit incidenty vzniklé při užívání SW, tj. oznamovat problémy spojené s provozem SW, jakož i uplatňovat nároky z titulu plnění Poskytovatele podle této Smlouvy (to vše dále jen „</w:t>
      </w:r>
      <w:r>
        <w:rPr>
          <w:b/>
        </w:rPr>
        <w:t>servisní požadavky</w:t>
      </w:r>
      <w:r>
        <w:t xml:space="preserve">“) prostřednictvím svého Service Desku (tel: 952 220 000, e-mail: </w:t>
      </w:r>
      <w:hyperlink r:id="rId10">
        <w:r>
          <w:rPr>
            <w:color w:val="0000FF"/>
            <w:u w:val="single"/>
          </w:rPr>
          <w:t>servicedesk@vzp.cz</w:t>
        </w:r>
      </w:hyperlink>
      <w:r>
        <w:t>) na kontaktní místo (service deskový nástroj) Poskytovatele: telefon: +420</w:t>
      </w:r>
      <w:r w:rsidR="00817DEE">
        <w:t> </w:t>
      </w:r>
      <w:r>
        <w:t xml:space="preserve"> 273 132 224, e-mail: helpdesk@sg-consulting.cz.</w:t>
      </w:r>
    </w:p>
    <w:p w:rsidR="00A42C43" w:rsidRDefault="00662C96">
      <w:pPr>
        <w:numPr>
          <w:ilvl w:val="0"/>
          <w:numId w:val="2"/>
        </w:numPr>
        <w:pBdr>
          <w:top w:val="nil"/>
          <w:left w:val="nil"/>
          <w:bottom w:val="nil"/>
          <w:right w:val="nil"/>
          <w:between w:val="nil"/>
        </w:pBdr>
        <w:spacing w:after="120" w:line="276" w:lineRule="auto"/>
      </w:pPr>
      <w:r>
        <w:t xml:space="preserve">Standardní komunikace mezi Objednatelem a Poskytovatelem bude probíhat přes Service Desk Objednatele výhradně na bázi elektronické komunikace v českém nebo slovenském jazyce. Použití telefonní linky je možné pouze v případě, kdy nelze využít e-mailové komunikace. </w:t>
      </w:r>
    </w:p>
    <w:p w:rsidR="00A42C43" w:rsidRDefault="00662C96">
      <w:pPr>
        <w:numPr>
          <w:ilvl w:val="0"/>
          <w:numId w:val="2"/>
        </w:numPr>
        <w:pBdr>
          <w:top w:val="nil"/>
          <w:left w:val="nil"/>
          <w:bottom w:val="nil"/>
          <w:right w:val="nil"/>
          <w:between w:val="nil"/>
        </w:pBdr>
        <w:spacing w:after="120" w:line="276" w:lineRule="auto"/>
      </w:pPr>
      <w:r>
        <w:t>Komunikace mezi Objednatelem a Poskytovatelem bude obsahovat zpravidla tyto kroky:</w:t>
      </w:r>
    </w:p>
    <w:p w:rsidR="00A42C43" w:rsidRDefault="00662C96">
      <w:pPr>
        <w:numPr>
          <w:ilvl w:val="2"/>
          <w:numId w:val="7"/>
        </w:numPr>
        <w:pBdr>
          <w:top w:val="nil"/>
          <w:left w:val="nil"/>
          <w:bottom w:val="nil"/>
          <w:right w:val="nil"/>
          <w:between w:val="nil"/>
        </w:pBdr>
        <w:spacing w:after="120" w:line="276" w:lineRule="auto"/>
        <w:ind w:left="1537" w:hanging="655"/>
        <w:rPr>
          <w:rFonts w:eastAsia="Arial" w:cs="Arial"/>
          <w:color w:val="000000"/>
          <w:szCs w:val="20"/>
        </w:rPr>
      </w:pPr>
      <w:r>
        <w:rPr>
          <w:rFonts w:eastAsia="Arial" w:cs="Arial"/>
          <w:color w:val="000000"/>
          <w:szCs w:val="20"/>
        </w:rPr>
        <w:lastRenderedPageBreak/>
        <w:t>Zaslání servisního požadavku ze strany Objednatele – (zaslání e-mailu Poskytovateli).</w:t>
      </w:r>
    </w:p>
    <w:p w:rsidR="00A42C43" w:rsidRDefault="00662C96">
      <w:pPr>
        <w:numPr>
          <w:ilvl w:val="2"/>
          <w:numId w:val="7"/>
        </w:numPr>
        <w:pBdr>
          <w:top w:val="nil"/>
          <w:left w:val="nil"/>
          <w:bottom w:val="nil"/>
          <w:right w:val="nil"/>
          <w:between w:val="nil"/>
        </w:pBdr>
        <w:spacing w:after="120" w:line="276" w:lineRule="auto"/>
        <w:ind w:left="1537" w:hanging="655"/>
        <w:rPr>
          <w:rFonts w:eastAsia="Arial" w:cs="Arial"/>
          <w:color w:val="000000"/>
          <w:szCs w:val="20"/>
        </w:rPr>
      </w:pPr>
      <w:r>
        <w:rPr>
          <w:rFonts w:eastAsia="Arial" w:cs="Arial"/>
          <w:color w:val="000000"/>
          <w:szCs w:val="20"/>
        </w:rPr>
        <w:t>Potvrzení přijetí servisního požadavku Poskytovatelem – (zaslání e-mailu Objednateli).</w:t>
      </w:r>
    </w:p>
    <w:p w:rsidR="00A42C43" w:rsidRDefault="00662C96">
      <w:pPr>
        <w:pBdr>
          <w:top w:val="nil"/>
          <w:left w:val="nil"/>
          <w:bottom w:val="nil"/>
          <w:right w:val="nil"/>
          <w:between w:val="nil"/>
        </w:pBdr>
        <w:spacing w:after="120" w:line="276" w:lineRule="auto"/>
        <w:ind w:left="1537"/>
        <w:rPr>
          <w:rFonts w:eastAsia="Arial" w:cs="Arial"/>
          <w:color w:val="000000"/>
          <w:szCs w:val="20"/>
        </w:rPr>
      </w:pPr>
      <w:r>
        <w:rPr>
          <w:rFonts w:eastAsia="Arial" w:cs="Arial"/>
          <w:color w:val="000000"/>
          <w:szCs w:val="20"/>
        </w:rPr>
        <w:t>V případě odmítnutí servisního požadavku Poskytovatelem řádné odůvodnění tohoto odmítnutí – (zaslání e-mailu Objednateli).</w:t>
      </w:r>
    </w:p>
    <w:p w:rsidR="00A42C43" w:rsidRDefault="00662C96">
      <w:pPr>
        <w:numPr>
          <w:ilvl w:val="2"/>
          <w:numId w:val="7"/>
        </w:numPr>
        <w:pBdr>
          <w:top w:val="nil"/>
          <w:left w:val="nil"/>
          <w:bottom w:val="nil"/>
          <w:right w:val="nil"/>
          <w:between w:val="nil"/>
        </w:pBdr>
        <w:spacing w:after="120" w:line="276" w:lineRule="auto"/>
        <w:ind w:left="1543" w:hanging="658"/>
        <w:rPr>
          <w:rFonts w:eastAsia="Arial" w:cs="Arial"/>
          <w:color w:val="000000"/>
          <w:szCs w:val="20"/>
        </w:rPr>
      </w:pPr>
      <w:r>
        <w:rPr>
          <w:rFonts w:eastAsia="Arial" w:cs="Arial"/>
          <w:color w:val="000000"/>
          <w:szCs w:val="20"/>
        </w:rPr>
        <w:t xml:space="preserve">Vyřešení servisního požadavku Poskytovatelem do tří pracovních dnů ode dne obdržení servisního požadavku Poskytovatelem (zaslání e-mailu Objednateli), nedohodnou-li se Pověřené osoby obou Smluvních stran prokazatelně ad hoc na delší lhůtě plnění. V případě nutnosti Poskytovatele postoupit řešení servisního požadavku výrobci SW musí být servisní požadavek vyřešen do 10 pracovních dnů, nestanoví-li závazné podmínky výrobce SW lhůtu delší. </w:t>
      </w:r>
    </w:p>
    <w:p w:rsidR="00A42C43" w:rsidRDefault="00662C96">
      <w:pPr>
        <w:numPr>
          <w:ilvl w:val="2"/>
          <w:numId w:val="7"/>
        </w:numPr>
        <w:pBdr>
          <w:top w:val="nil"/>
          <w:left w:val="nil"/>
          <w:bottom w:val="nil"/>
          <w:right w:val="nil"/>
          <w:between w:val="nil"/>
        </w:pBdr>
        <w:spacing w:after="120" w:line="276" w:lineRule="auto"/>
        <w:ind w:left="1537" w:hanging="655"/>
        <w:rPr>
          <w:rFonts w:eastAsia="Arial" w:cs="Arial"/>
          <w:color w:val="000000"/>
          <w:szCs w:val="20"/>
        </w:rPr>
      </w:pPr>
      <w:r>
        <w:rPr>
          <w:rFonts w:eastAsia="Arial" w:cs="Arial"/>
          <w:color w:val="000000"/>
          <w:szCs w:val="20"/>
        </w:rPr>
        <w:t>Servisní požadavek je považován za vyřízený dnem zaslání informace Poskytovatele o vyřešení servisního požadavku Objednatele – (zaslání e-mailu Objednateli), bude-li následně Objednatelem vyřešení odsouhlaseno.</w:t>
      </w:r>
    </w:p>
    <w:p w:rsidR="00A42C43" w:rsidRDefault="00662C96">
      <w:pPr>
        <w:numPr>
          <w:ilvl w:val="0"/>
          <w:numId w:val="2"/>
        </w:numPr>
        <w:pBdr>
          <w:top w:val="nil"/>
          <w:left w:val="nil"/>
          <w:bottom w:val="nil"/>
          <w:right w:val="nil"/>
          <w:between w:val="nil"/>
        </w:pBdr>
        <w:spacing w:after="120" w:line="276" w:lineRule="auto"/>
      </w:pPr>
      <w:r>
        <w:t>Objednatel si vyhrazuje možnost dotazu (e-mailem) na stav nevyřešeného požadavku, na nějž Poskytovatel odpoví nestrukturovaným e-mailem.</w:t>
      </w:r>
    </w:p>
    <w:p w:rsidR="00A42C43" w:rsidRDefault="00662C96">
      <w:pPr>
        <w:numPr>
          <w:ilvl w:val="0"/>
          <w:numId w:val="2"/>
        </w:numPr>
        <w:spacing w:after="120" w:line="276" w:lineRule="auto"/>
        <w:rPr>
          <w:b/>
        </w:rPr>
      </w:pPr>
      <w:bookmarkStart w:id="7" w:name="_heading=h.4d34og8" w:colFirst="0" w:colLast="0"/>
      <w:bookmarkEnd w:id="7"/>
      <w:r>
        <w:rPr>
          <w:u w:val="single"/>
        </w:rPr>
        <w:t>Součinnost</w:t>
      </w:r>
      <w:r>
        <w:rPr>
          <w:b/>
        </w:rPr>
        <w:t xml:space="preserve"> </w:t>
      </w:r>
    </w:p>
    <w:p w:rsidR="00A42C43" w:rsidRDefault="00662C96">
      <w:pPr>
        <w:numPr>
          <w:ilvl w:val="1"/>
          <w:numId w:val="2"/>
        </w:numPr>
        <w:spacing w:after="120" w:line="276" w:lineRule="auto"/>
        <w:ind w:left="851" w:hanging="491"/>
      </w:pPr>
      <w:r>
        <w:t xml:space="preserve">Při řešení servisních požadavků bude Objednatel poskytovat Poskytovateli v rámci možností pracovníků Objednatele informace potřebné pro správné a včasné provedení servisního požadavku; s ohledem na odbornost Poskytovatele pak lze jeho orientaci v podaných informacích právem předpokládat. </w:t>
      </w:r>
    </w:p>
    <w:p w:rsidR="00A42C43" w:rsidRDefault="00662C96">
      <w:pPr>
        <w:numPr>
          <w:ilvl w:val="1"/>
          <w:numId w:val="2"/>
        </w:numPr>
        <w:spacing w:after="120" w:line="276" w:lineRule="auto"/>
        <w:ind w:left="851" w:hanging="491"/>
      </w:pPr>
      <w:r>
        <w:t xml:space="preserve">Smluvní strany se dohodly na tom, že pro účely této Smlouvy se nepoužije ust. § 2591 občanského zákoníku. </w:t>
      </w:r>
    </w:p>
    <w:p w:rsidR="00A42C43" w:rsidRDefault="00662C96">
      <w:pPr>
        <w:numPr>
          <w:ilvl w:val="0"/>
          <w:numId w:val="2"/>
        </w:numPr>
        <w:spacing w:after="120" w:line="276" w:lineRule="auto"/>
      </w:pPr>
      <w:r>
        <w:t xml:space="preserve">Místem plnění je sídlo Všeobecné zdravotní pojišťovny České republiky, Orlická 2020/4, 130 00 Praha 3. </w:t>
      </w:r>
    </w:p>
    <w:p w:rsidR="00A42C43" w:rsidRDefault="00A42C43">
      <w:pPr>
        <w:widowControl w:val="0"/>
        <w:tabs>
          <w:tab w:val="left" w:pos="708"/>
        </w:tabs>
        <w:spacing w:after="120" w:line="276" w:lineRule="auto"/>
      </w:pPr>
    </w:p>
    <w:p w:rsidR="00A42C43" w:rsidRDefault="00662C96">
      <w:pPr>
        <w:spacing w:after="120" w:line="276" w:lineRule="auto"/>
        <w:jc w:val="center"/>
        <w:rPr>
          <w:b/>
        </w:rPr>
      </w:pPr>
      <w:r>
        <w:rPr>
          <w:b/>
        </w:rPr>
        <w:t xml:space="preserve">Článek V. Cena plnění </w:t>
      </w:r>
    </w:p>
    <w:p w:rsidR="00A42C43" w:rsidRDefault="00662C96">
      <w:pPr>
        <w:numPr>
          <w:ilvl w:val="0"/>
          <w:numId w:val="8"/>
        </w:numPr>
        <w:spacing w:after="120" w:line="276" w:lineRule="auto"/>
        <w:ind w:left="284" w:hanging="284"/>
      </w:pPr>
      <w:r>
        <w:t>Cena plnění dle této Smlouvy je stanovena na základě předložené cenové nabídky Poskytovatele v rámci předmětné veřejné zakázky.</w:t>
      </w:r>
    </w:p>
    <w:p w:rsidR="00A42C43" w:rsidRDefault="00662C96">
      <w:pPr>
        <w:numPr>
          <w:ilvl w:val="0"/>
          <w:numId w:val="8"/>
        </w:numPr>
        <w:spacing w:after="120" w:line="276" w:lineRule="auto"/>
        <w:ind w:left="284" w:hanging="284"/>
      </w:pPr>
      <w:r>
        <w:t xml:space="preserve">Poskytovatel se zavazuje poskytovat Objednateli plnění podle této Smlouvy po celou dobu trvání této Smlouvy za cenu, která je uvedena v odstavci 3. tohoto článku. </w:t>
      </w:r>
    </w:p>
    <w:p w:rsidR="00A42C43" w:rsidRDefault="00662C96">
      <w:pPr>
        <w:numPr>
          <w:ilvl w:val="0"/>
          <w:numId w:val="8"/>
        </w:numPr>
        <w:spacing w:after="120" w:line="276" w:lineRule="auto"/>
        <w:ind w:left="284" w:hanging="284"/>
      </w:pPr>
      <w:r>
        <w:rPr>
          <w:b/>
        </w:rPr>
        <w:t>Cena za poskytování podpory za 12měsíční období činí:</w:t>
      </w:r>
      <w:r w:rsidR="005D16CC">
        <w:rPr>
          <w:b/>
        </w:rPr>
        <w:t xml:space="preserve"> 578 000,-</w:t>
      </w:r>
      <w:r>
        <w:rPr>
          <w:b/>
        </w:rPr>
        <w:t xml:space="preserve"> Kč bez DPH</w:t>
      </w:r>
      <w:r>
        <w:t>.</w:t>
      </w:r>
    </w:p>
    <w:p w:rsidR="00A42C43" w:rsidRDefault="00662C96">
      <w:pPr>
        <w:numPr>
          <w:ilvl w:val="0"/>
          <w:numId w:val="8"/>
        </w:numPr>
        <w:spacing w:after="120" w:line="276" w:lineRule="auto"/>
        <w:ind w:left="284" w:hanging="284"/>
      </w:pPr>
      <w:r>
        <w:t>Celková cena za poskytování podpory za období 48 měsíců činí:</w:t>
      </w:r>
      <w:r w:rsidR="005D16CC">
        <w:t xml:space="preserve"> </w:t>
      </w:r>
      <w:r w:rsidR="005D16CC" w:rsidRPr="005D16CC">
        <w:rPr>
          <w:b/>
        </w:rPr>
        <w:t>2 312 000,-</w:t>
      </w:r>
      <w:r w:rsidRPr="005D16CC">
        <w:rPr>
          <w:b/>
        </w:rPr>
        <w:t xml:space="preserve"> Kč bez DPH</w:t>
      </w:r>
      <w:r>
        <w:t>.</w:t>
      </w:r>
    </w:p>
    <w:p w:rsidR="00A42C43" w:rsidRDefault="00662C96">
      <w:pPr>
        <w:numPr>
          <w:ilvl w:val="0"/>
          <w:numId w:val="8"/>
        </w:numPr>
        <w:spacing w:after="120" w:line="276" w:lineRule="auto"/>
        <w:ind w:left="284" w:hanging="284"/>
      </w:pPr>
      <w:r>
        <w:t xml:space="preserve">Cena za plnění (bez DPH) uvedená v odst. 3. tohoto článku je konečná a nepřekročitelná. Tato cena zahrnuje i veškeré další náklady Poskytovatele spojené s poskytováním plnění dle této Smlouvy, které nejsou ve Smlouvě výslovně uvedeny, ale Poskytovatel jakožto odborník o nich ví nebo má vědět, že jsou nezbytné pro řádné poskytnutí plnění. </w:t>
      </w:r>
    </w:p>
    <w:p w:rsidR="00A42C43" w:rsidRDefault="00662C96">
      <w:pPr>
        <w:numPr>
          <w:ilvl w:val="0"/>
          <w:numId w:val="8"/>
        </w:numPr>
        <w:spacing w:after="120" w:line="276" w:lineRule="auto"/>
        <w:ind w:left="284" w:hanging="284"/>
      </w:pPr>
      <w:r>
        <w:t>Bude-li ke dni uskutečnění zdanitelného plnění Poskytovatel plátcem DPH, bude k ceně bez DPH uvedené v odst. 3.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rsidR="00A42C43" w:rsidRDefault="00662C96">
      <w:pPr>
        <w:numPr>
          <w:ilvl w:val="0"/>
          <w:numId w:val="8"/>
        </w:numPr>
        <w:spacing w:after="120" w:line="276" w:lineRule="auto"/>
        <w:ind w:left="284" w:hanging="284"/>
      </w:pPr>
      <w:r>
        <w:t>Poskytovatel, který ke dni uskutečnění zdanitelného plnění nebude plátcem DPH, bude Objednateli účtovat cenu uvedenou v odst. 3. tohoto článku jako cenu konečnou.</w:t>
      </w:r>
    </w:p>
    <w:p w:rsidR="00A42C43" w:rsidRDefault="00A42C43">
      <w:pPr>
        <w:spacing w:after="120" w:line="276" w:lineRule="auto"/>
        <w:ind w:left="284"/>
      </w:pPr>
    </w:p>
    <w:p w:rsidR="00A42C43" w:rsidRDefault="00662C96">
      <w:pPr>
        <w:spacing w:after="120" w:line="276" w:lineRule="auto"/>
        <w:jc w:val="center"/>
        <w:rPr>
          <w:b/>
        </w:rPr>
      </w:pPr>
      <w:bookmarkStart w:id="8" w:name="_heading=h.2s8eyo1" w:colFirst="0" w:colLast="0"/>
      <w:bookmarkEnd w:id="8"/>
      <w:r>
        <w:rPr>
          <w:b/>
        </w:rPr>
        <w:lastRenderedPageBreak/>
        <w:t>Článek VI. Fakturační a platební podmínky</w:t>
      </w:r>
    </w:p>
    <w:p w:rsidR="00A42C43" w:rsidRDefault="00662C96">
      <w:pPr>
        <w:numPr>
          <w:ilvl w:val="0"/>
          <w:numId w:val="11"/>
        </w:numPr>
        <w:pBdr>
          <w:top w:val="nil"/>
          <w:left w:val="nil"/>
          <w:bottom w:val="nil"/>
          <w:right w:val="nil"/>
          <w:between w:val="nil"/>
        </w:pBdr>
        <w:tabs>
          <w:tab w:val="left" w:pos="0"/>
        </w:tabs>
        <w:spacing w:after="120" w:line="276" w:lineRule="auto"/>
        <w:ind w:left="284" w:hanging="284"/>
      </w:pPr>
      <w:bookmarkStart w:id="9" w:name="_heading=h.17dp8vu" w:colFirst="0" w:colLast="0"/>
      <w:bookmarkEnd w:id="9"/>
      <w:r>
        <w:rPr>
          <w:rFonts w:eastAsia="Arial" w:cs="Arial"/>
          <w:color w:val="000000"/>
          <w:szCs w:val="20"/>
        </w:rPr>
        <w:t>Úhrada ceny plnění dle čl. V. této Smlouvy bude prováděna bezhotovostním převodem na bankovní účet Poskytovatele uvedený v záhlaví této Smlouvy, a to na základě daňových dokladů – faktur (dále též jen „</w:t>
      </w:r>
      <w:r>
        <w:rPr>
          <w:rFonts w:eastAsia="Arial" w:cs="Arial"/>
          <w:b/>
          <w:color w:val="000000"/>
          <w:szCs w:val="20"/>
        </w:rPr>
        <w:t>faktura</w:t>
      </w:r>
      <w:r>
        <w:rPr>
          <w:rFonts w:eastAsia="Arial" w:cs="Arial"/>
          <w:color w:val="000000"/>
          <w:szCs w:val="20"/>
        </w:rPr>
        <w:t>“) vystavených Poskytovatelem a zaslaných Objednateli. Smluvní strany se dohodly, že bankovní účty uvedené u jejich identifikačních údajů v záhlaví této Smlouvy mohou být měněny pouze formou písemných smluvních dodatků k této Smlouvě podepsaných oprávněnými zástupci Smluvních stran.</w:t>
      </w:r>
    </w:p>
    <w:p w:rsidR="00A42C43" w:rsidRDefault="00662C96">
      <w:pPr>
        <w:numPr>
          <w:ilvl w:val="0"/>
          <w:numId w:val="11"/>
        </w:numPr>
        <w:pBdr>
          <w:top w:val="nil"/>
          <w:left w:val="nil"/>
          <w:bottom w:val="nil"/>
          <w:right w:val="nil"/>
          <w:between w:val="nil"/>
        </w:pBdr>
        <w:tabs>
          <w:tab w:val="left" w:pos="0"/>
        </w:tabs>
        <w:spacing w:after="120" w:line="276" w:lineRule="auto"/>
        <w:ind w:left="284" w:hanging="284"/>
        <w:rPr>
          <w:rFonts w:eastAsia="Arial" w:cs="Arial"/>
          <w:color w:val="000000"/>
          <w:szCs w:val="20"/>
        </w:rPr>
      </w:pPr>
      <w:r>
        <w:rPr>
          <w:rFonts w:eastAsia="Arial" w:cs="Arial"/>
          <w:color w:val="000000"/>
          <w:szCs w:val="20"/>
        </w:rPr>
        <w:t xml:space="preserve">Úhrada ceny plnění dle čl. V., odst. 4. této Smlouvy bude provedena ve 4 splátkách, každá ve výši </w:t>
      </w:r>
      <w:r w:rsidR="005D16CC" w:rsidRPr="005D16CC">
        <w:rPr>
          <w:rFonts w:eastAsia="Arial" w:cs="Arial"/>
          <w:b/>
          <w:color w:val="000000"/>
          <w:szCs w:val="20"/>
        </w:rPr>
        <w:t>578 000,-</w:t>
      </w:r>
      <w:r w:rsidRPr="005D16CC">
        <w:rPr>
          <w:rFonts w:eastAsia="Arial" w:cs="Arial"/>
          <w:b/>
          <w:color w:val="000000"/>
          <w:szCs w:val="20"/>
        </w:rPr>
        <w:t xml:space="preserve"> Kč bez DPH</w:t>
      </w:r>
      <w:r>
        <w:rPr>
          <w:rFonts w:eastAsia="Arial" w:cs="Arial"/>
          <w:color w:val="000000"/>
          <w:szCs w:val="20"/>
        </w:rPr>
        <w:t>, a to na základě faktur, vystavených vždy na příslušné dvanáctiměsíční období, s tím, že:</w:t>
      </w:r>
    </w:p>
    <w:p w:rsidR="00A42C43" w:rsidRDefault="00662C96">
      <w:pPr>
        <w:numPr>
          <w:ilvl w:val="0"/>
          <w:numId w:val="1"/>
        </w:numPr>
        <w:pBdr>
          <w:top w:val="nil"/>
          <w:left w:val="nil"/>
          <w:bottom w:val="nil"/>
          <w:right w:val="nil"/>
          <w:between w:val="nil"/>
        </w:pBdr>
        <w:tabs>
          <w:tab w:val="left" w:pos="0"/>
        </w:tabs>
        <w:spacing w:after="120" w:line="276" w:lineRule="auto"/>
        <w:ind w:left="709" w:hanging="425"/>
        <w:rPr>
          <w:rFonts w:eastAsia="Arial" w:cs="Arial"/>
          <w:color w:val="000000"/>
          <w:szCs w:val="20"/>
        </w:rPr>
      </w:pPr>
      <w:r>
        <w:rPr>
          <w:rFonts w:eastAsia="Arial" w:cs="Arial"/>
          <w:color w:val="000000"/>
          <w:szCs w:val="20"/>
        </w:rPr>
        <w:t>dvanáctiměsíčním obdobím se rozumí období dvanácti měsíců po sobě jdoucích. Počátkem prvního dvanáctiměsíčního období je den zahájení poskytování podpory dle této Smlouvy; následující dvanáctiměsíční období navazuje vždy na období předešlé a jeho běh je obdobný,</w:t>
      </w:r>
    </w:p>
    <w:p w:rsidR="00A42C43" w:rsidRDefault="00662C96">
      <w:pPr>
        <w:numPr>
          <w:ilvl w:val="0"/>
          <w:numId w:val="1"/>
        </w:numPr>
        <w:pBdr>
          <w:top w:val="nil"/>
          <w:left w:val="nil"/>
          <w:bottom w:val="nil"/>
          <w:right w:val="nil"/>
          <w:between w:val="nil"/>
        </w:pBdr>
        <w:tabs>
          <w:tab w:val="left" w:pos="0"/>
        </w:tabs>
        <w:spacing w:after="120" w:line="276" w:lineRule="auto"/>
        <w:ind w:left="709" w:hanging="425"/>
        <w:rPr>
          <w:rFonts w:eastAsia="Arial" w:cs="Arial"/>
          <w:color w:val="000000"/>
          <w:szCs w:val="20"/>
        </w:rPr>
      </w:pPr>
      <w:r>
        <w:rPr>
          <w:rFonts w:eastAsia="Arial" w:cs="Arial"/>
          <w:color w:val="000000"/>
          <w:szCs w:val="20"/>
        </w:rPr>
        <w:t xml:space="preserve">dnem uskutečnění zdanitelného plnění je vždy první den příslušného dvanáctiměsíčního období, </w:t>
      </w:r>
    </w:p>
    <w:p w:rsidR="00A42C43" w:rsidRDefault="00662C96">
      <w:pPr>
        <w:numPr>
          <w:ilvl w:val="0"/>
          <w:numId w:val="1"/>
        </w:numPr>
        <w:pBdr>
          <w:top w:val="nil"/>
          <w:left w:val="nil"/>
          <w:bottom w:val="nil"/>
          <w:right w:val="nil"/>
          <w:between w:val="nil"/>
        </w:pBdr>
        <w:tabs>
          <w:tab w:val="left" w:pos="0"/>
        </w:tabs>
        <w:spacing w:after="120" w:line="276" w:lineRule="auto"/>
        <w:ind w:left="709" w:hanging="425"/>
        <w:rPr>
          <w:rFonts w:eastAsia="Arial" w:cs="Arial"/>
          <w:color w:val="000000"/>
          <w:szCs w:val="20"/>
        </w:rPr>
      </w:pPr>
      <w:r>
        <w:rPr>
          <w:rFonts w:eastAsia="Arial" w:cs="Arial"/>
          <w:color w:val="000000"/>
          <w:szCs w:val="20"/>
        </w:rPr>
        <w:t>v případě předčasného ukončení této Smlouvy bude cena podpory Objednatelem uhrazena jen za dobu, po kterou poskytování podpory podle této Smlouvy potrvá.</w:t>
      </w:r>
    </w:p>
    <w:p w:rsidR="00A42C43" w:rsidRDefault="00662C96">
      <w:pPr>
        <w:numPr>
          <w:ilvl w:val="0"/>
          <w:numId w:val="11"/>
        </w:numPr>
        <w:spacing w:after="120" w:line="276" w:lineRule="auto"/>
      </w:pPr>
      <w:r>
        <w:t xml:space="preserve">Faktury Poskytovatel zašle Objednateli v listinné podobě na adresu sídla Objednatele uvedenou v záhlaví této Smlouvy nebo v elektronické podobě do jeho datové schránky nebo e-mailem zaslaným na adresu </w:t>
      </w:r>
      <w:hyperlink r:id="rId11">
        <w:r>
          <w:t>podatelna@vzp.cz</w:t>
        </w:r>
      </w:hyperlink>
      <w:r>
        <w:t>, přičemž předmět (název) e-mailu musí začínat slovem „</w:t>
      </w:r>
      <w:r>
        <w:rPr>
          <w:b/>
        </w:rPr>
        <w:t>Faktura</w:t>
      </w:r>
      <w:r>
        <w:t xml:space="preserve">“. </w:t>
      </w:r>
    </w:p>
    <w:p w:rsidR="00A42C43" w:rsidRDefault="00662C96">
      <w:pPr>
        <w:spacing w:after="120" w:line="276" w:lineRule="auto"/>
        <w:ind w:left="284"/>
      </w:pPr>
      <w:r>
        <w:t>Jako odběratel musí být vždy uvedena Všeobecná zdravotní pojišťovna České republiky, Orlická 2020/4, 130 00 Praha 3.</w:t>
      </w:r>
    </w:p>
    <w:p w:rsidR="00A42C43" w:rsidRDefault="00662C96">
      <w:pPr>
        <w:numPr>
          <w:ilvl w:val="0"/>
          <w:numId w:val="11"/>
        </w:numPr>
        <w:spacing w:after="120" w:line="276" w:lineRule="auto"/>
      </w:pPr>
      <w:r>
        <w:t>Splatnost každé faktury se sjednává do 30 dnů ode dne jejího doručení Objednateli.</w:t>
      </w:r>
    </w:p>
    <w:p w:rsidR="00A42C43" w:rsidRDefault="00662C96">
      <w:pPr>
        <w:numPr>
          <w:ilvl w:val="0"/>
          <w:numId w:val="11"/>
        </w:numPr>
        <w:pBdr>
          <w:top w:val="nil"/>
          <w:left w:val="nil"/>
          <w:bottom w:val="nil"/>
          <w:right w:val="nil"/>
          <w:between w:val="nil"/>
        </w:pBdr>
        <w:tabs>
          <w:tab w:val="left" w:pos="0"/>
        </w:tabs>
        <w:spacing w:after="120" w:line="276" w:lineRule="auto"/>
        <w:ind w:left="284" w:hanging="284"/>
      </w:pPr>
      <w:r>
        <w:rPr>
          <w:rFonts w:eastAsia="Arial" w:cs="Arial"/>
          <w:color w:val="000000"/>
          <w:szCs w:val="20"/>
        </w:rPr>
        <w:t>Úhrady za plnění budou provedeny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rsidR="00A42C43" w:rsidRDefault="00662C96">
      <w:pPr>
        <w:numPr>
          <w:ilvl w:val="0"/>
          <w:numId w:val="11"/>
        </w:numPr>
        <w:pBdr>
          <w:top w:val="nil"/>
          <w:left w:val="nil"/>
          <w:bottom w:val="nil"/>
          <w:right w:val="nil"/>
          <w:between w:val="nil"/>
        </w:pBdr>
        <w:tabs>
          <w:tab w:val="left" w:pos="0"/>
        </w:tabs>
        <w:spacing w:after="120" w:line="276" w:lineRule="auto"/>
        <w:ind w:left="284" w:hanging="284"/>
        <w:rPr>
          <w:rFonts w:eastAsia="Arial" w:cs="Arial"/>
          <w:color w:val="000000"/>
          <w:szCs w:val="20"/>
        </w:rPr>
      </w:pPr>
      <w:r>
        <w:rPr>
          <w:rFonts w:eastAsia="Arial" w:cs="Arial"/>
          <w:color w:val="000000"/>
          <w:szCs w:val="20"/>
        </w:rPr>
        <w:t>Každá faktura musí obsahovat všechny náležitosti řádného účetního a daňového dokladu ve smyslu příslušných zákonných ustanovení, zejména zákona č. 235/2004 Sb., o dani z přidané hodnoty, ve znění pozdějších předpisů (dále též jen „</w:t>
      </w:r>
      <w:r>
        <w:rPr>
          <w:rFonts w:eastAsia="Arial" w:cs="Arial"/>
          <w:b/>
          <w:color w:val="000000"/>
          <w:szCs w:val="20"/>
        </w:rPr>
        <w:t>zákon o DPH</w:t>
      </w:r>
      <w:r>
        <w:rPr>
          <w:rFonts w:eastAsia="Arial" w:cs="Arial"/>
          <w:color w:val="000000"/>
          <w:szCs w:val="20"/>
        </w:rPr>
        <w:t xml:space="preserve">“), zákona č. 563/1991 Sb., o účetnictví, ve znění pozdějších předpisů a § 435 občanského zákoníku. Faktury musí obsahovat číslo této Smlouvy. </w:t>
      </w:r>
    </w:p>
    <w:p w:rsidR="00A42C43" w:rsidRDefault="00662C96">
      <w:pPr>
        <w:numPr>
          <w:ilvl w:val="0"/>
          <w:numId w:val="11"/>
        </w:numPr>
        <w:spacing w:after="120" w:line="276" w:lineRule="auto"/>
      </w:pPr>
      <w: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ke vrácené faktuře musí uvést důvod vrácení. Poskytovatel je povinen podle povahy nesprávnosti fakturu opravit nebo nově vyhotovit. Oprávněným vrácením faktury přestává běžet původní lhůta splatnosti a celá 30denní lhůta běží znovu ode dne opětovného doručení opravené nebo nově vyhotovené faktury Objednateli způsobem uvedeným v odst. 3. tohoto článku.</w:t>
      </w:r>
    </w:p>
    <w:p w:rsidR="00A42C43" w:rsidRDefault="00662C96">
      <w:pPr>
        <w:numPr>
          <w:ilvl w:val="0"/>
          <w:numId w:val="11"/>
        </w:numPr>
        <w:spacing w:after="120" w:line="276" w:lineRule="auto"/>
      </w:pPr>
      <w:r>
        <w:t xml:space="preserve">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způsobem zveřejněn, uhradí Objednatel Poskytovateli v dohodnutém termínu splatnosti příslušné faktury pouze </w:t>
      </w:r>
      <w:r>
        <w:lastRenderedPageBreak/>
        <w:t>částku představující dohodnutou cenu plnění bez DPH. Částku rovnající se výši DPH z Poskytovatelem fakturované ceny plnění uhradí Objednatel, v souladu s § 109 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rsidR="00A42C43" w:rsidRDefault="00662C96">
      <w:pPr>
        <w:numPr>
          <w:ilvl w:val="0"/>
          <w:numId w:val="11"/>
        </w:numPr>
        <w:spacing w:after="120" w:line="276" w:lineRule="auto"/>
      </w:pPr>
      <w:r>
        <w:t>Poskytovatel prohlašuje, že správce daně před uzavřením Smlouvy nerozhodl, že Poskytovatel je nespolehlivým plátcem ve smyslu § 106a zákona o DPH (dále jen „</w:t>
      </w:r>
      <w:r>
        <w:rPr>
          <w:b/>
        </w:rPr>
        <w:t>Nespolehlivý plátce</w:t>
      </w:r>
      <w:r>
        <w:t>“).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8. tohoto článku.</w:t>
      </w:r>
    </w:p>
    <w:p w:rsidR="00A42C43" w:rsidRDefault="00A42C43">
      <w:pPr>
        <w:tabs>
          <w:tab w:val="left" w:pos="0"/>
        </w:tabs>
        <w:spacing w:after="120" w:line="276" w:lineRule="auto"/>
      </w:pPr>
    </w:p>
    <w:p w:rsidR="00A42C43" w:rsidRDefault="00662C96">
      <w:pPr>
        <w:spacing w:after="120" w:line="276" w:lineRule="auto"/>
        <w:jc w:val="center"/>
        <w:rPr>
          <w:b/>
        </w:rPr>
      </w:pPr>
      <w:r>
        <w:rPr>
          <w:b/>
        </w:rPr>
        <w:t>Článek VII. Sankční ujednání</w:t>
      </w:r>
    </w:p>
    <w:p w:rsidR="00A42C43" w:rsidRDefault="00662C96">
      <w:pPr>
        <w:widowControl w:val="0"/>
        <w:numPr>
          <w:ilvl w:val="0"/>
          <w:numId w:val="14"/>
        </w:numPr>
        <w:pBdr>
          <w:top w:val="nil"/>
          <w:left w:val="nil"/>
          <w:bottom w:val="nil"/>
          <w:right w:val="nil"/>
          <w:between w:val="nil"/>
        </w:pBdr>
        <w:spacing w:after="120" w:line="276" w:lineRule="auto"/>
        <w:ind w:left="284" w:hanging="284"/>
      </w:pPr>
      <w:bookmarkStart w:id="10" w:name="_heading=h.3rdcrjn" w:colFirst="0" w:colLast="0"/>
      <w:bookmarkEnd w:id="10"/>
      <w:r>
        <w:t xml:space="preserve">V </w:t>
      </w:r>
      <w:r>
        <w:rPr>
          <w:color w:val="000000"/>
        </w:rPr>
        <w:t>případě</w:t>
      </w:r>
      <w:r>
        <w:t xml:space="preserve"> prodlení Objednatele se zaplacením faktury může Poskytovatel vyúčtovat Objednateli úrok z prodlení ve výši 0,02 % z nezaplacené částky předmětné faktury za každý kalendářní den prodlení a Objednatel je povinen tuto sankci uhradit.</w:t>
      </w:r>
    </w:p>
    <w:p w:rsidR="00A42C43" w:rsidRDefault="00662C96">
      <w:pPr>
        <w:widowControl w:val="0"/>
        <w:numPr>
          <w:ilvl w:val="0"/>
          <w:numId w:val="14"/>
        </w:numPr>
        <w:pBdr>
          <w:top w:val="nil"/>
          <w:left w:val="nil"/>
          <w:bottom w:val="nil"/>
          <w:right w:val="nil"/>
          <w:between w:val="nil"/>
        </w:pBdr>
        <w:spacing w:after="120" w:line="276" w:lineRule="auto"/>
        <w:ind w:left="284" w:hanging="284"/>
      </w:pPr>
      <w:r>
        <w:rPr>
          <w:color w:val="000000"/>
        </w:rPr>
        <w:t>Uhrazením</w:t>
      </w:r>
      <w:r>
        <w:t xml:space="preserve"> jakékoliv smluvní pokuty není dotčeno právo Objednatele na náhradu vzniklé škody v celém rozsahu.</w:t>
      </w:r>
    </w:p>
    <w:p w:rsidR="00A42C43" w:rsidRDefault="00A42C43">
      <w:pPr>
        <w:pBdr>
          <w:top w:val="nil"/>
          <w:left w:val="nil"/>
          <w:bottom w:val="nil"/>
          <w:right w:val="nil"/>
          <w:between w:val="nil"/>
        </w:pBdr>
        <w:tabs>
          <w:tab w:val="left" w:pos="426"/>
        </w:tabs>
        <w:spacing w:after="120" w:line="276" w:lineRule="auto"/>
        <w:ind w:left="360" w:hanging="360"/>
        <w:rPr>
          <w:rFonts w:eastAsia="Arial" w:cs="Arial"/>
          <w:color w:val="000000"/>
          <w:szCs w:val="20"/>
        </w:rPr>
      </w:pPr>
    </w:p>
    <w:p w:rsidR="00A42C43" w:rsidRDefault="00662C96">
      <w:pPr>
        <w:spacing w:after="120" w:line="276" w:lineRule="auto"/>
        <w:jc w:val="center"/>
        <w:rPr>
          <w:b/>
        </w:rPr>
      </w:pPr>
      <w:r>
        <w:rPr>
          <w:b/>
        </w:rPr>
        <w:t>Článek VIII.</w:t>
      </w:r>
    </w:p>
    <w:p w:rsidR="00A42C43" w:rsidRDefault="00662C96">
      <w:pPr>
        <w:spacing w:after="120" w:line="276" w:lineRule="auto"/>
        <w:jc w:val="center"/>
        <w:rPr>
          <w:b/>
        </w:rPr>
      </w:pPr>
      <w:r>
        <w:rPr>
          <w:b/>
        </w:rPr>
        <w:t>Odpovědnost za vady</w:t>
      </w:r>
    </w:p>
    <w:p w:rsidR="00A42C43" w:rsidRDefault="00662C96">
      <w:pPr>
        <w:spacing w:after="120" w:line="276" w:lineRule="auto"/>
      </w:pPr>
      <w:bookmarkStart w:id="11" w:name="_heading=h.26in1rg" w:colFirst="0" w:colLast="0"/>
      <w:bookmarkEnd w:id="11"/>
      <w:r>
        <w:t xml:space="preserve">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 </w:t>
      </w:r>
    </w:p>
    <w:p w:rsidR="00A42C43" w:rsidRDefault="00A42C43">
      <w:pPr>
        <w:widowControl w:val="0"/>
        <w:spacing w:after="120" w:line="276" w:lineRule="auto"/>
      </w:pPr>
    </w:p>
    <w:p w:rsidR="00A42C43" w:rsidRDefault="00662C96">
      <w:pPr>
        <w:pBdr>
          <w:top w:val="nil"/>
          <w:left w:val="nil"/>
          <w:bottom w:val="nil"/>
          <w:right w:val="nil"/>
          <w:between w:val="nil"/>
        </w:pBdr>
        <w:tabs>
          <w:tab w:val="left" w:pos="1701"/>
        </w:tabs>
        <w:spacing w:after="120" w:line="276" w:lineRule="auto"/>
        <w:ind w:left="360"/>
        <w:jc w:val="center"/>
        <w:rPr>
          <w:rFonts w:eastAsia="Arial" w:cs="Arial"/>
          <w:b/>
          <w:color w:val="000000"/>
          <w:szCs w:val="20"/>
        </w:rPr>
      </w:pPr>
      <w:r>
        <w:rPr>
          <w:rFonts w:eastAsia="Arial" w:cs="Arial"/>
          <w:b/>
          <w:color w:val="000000"/>
          <w:szCs w:val="20"/>
        </w:rPr>
        <w:t xml:space="preserve">Článek IX. </w:t>
      </w:r>
    </w:p>
    <w:p w:rsidR="00A42C43" w:rsidRDefault="00662C96">
      <w:pPr>
        <w:pBdr>
          <w:top w:val="nil"/>
          <w:left w:val="nil"/>
          <w:bottom w:val="nil"/>
          <w:right w:val="nil"/>
          <w:between w:val="nil"/>
        </w:pBdr>
        <w:tabs>
          <w:tab w:val="left" w:pos="1701"/>
        </w:tabs>
        <w:spacing w:after="120" w:line="276" w:lineRule="auto"/>
        <w:ind w:left="360"/>
        <w:jc w:val="center"/>
        <w:rPr>
          <w:rFonts w:eastAsia="Arial" w:cs="Arial"/>
          <w:b/>
          <w:color w:val="000000"/>
          <w:szCs w:val="20"/>
        </w:rPr>
      </w:pPr>
      <w:r>
        <w:rPr>
          <w:rFonts w:eastAsia="Arial" w:cs="Arial"/>
          <w:b/>
          <w:color w:val="000000"/>
          <w:szCs w:val="20"/>
        </w:rPr>
        <w:t>Odpovědnost za škodu, pojištění odpovědnosti za škodu</w:t>
      </w:r>
    </w:p>
    <w:p w:rsidR="00A42C43" w:rsidRDefault="00662C96">
      <w:pPr>
        <w:spacing w:after="120" w:line="276" w:lineRule="auto"/>
        <w:ind w:left="360" w:hanging="360"/>
      </w:pPr>
      <w:r>
        <w:t>1.</w:t>
      </w:r>
      <w:r>
        <w:tab/>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rsidR="00A42C43" w:rsidRDefault="00662C96">
      <w:pPr>
        <w:spacing w:after="120" w:line="276" w:lineRule="auto"/>
        <w:ind w:left="360" w:hanging="360"/>
      </w:pPr>
      <w:r>
        <w:t>2.</w:t>
      </w:r>
      <w:r>
        <w:tab/>
        <w:t>Odpovědnost za škodu se řídí příslušnými ustanoveními občanského zákoníku, zejména pak ustanovením § 2894 a násl. a § 2913 občanského zákoníku.</w:t>
      </w:r>
    </w:p>
    <w:p w:rsidR="00A42C43" w:rsidRDefault="00662C96">
      <w:pPr>
        <w:spacing w:after="120" w:line="276" w:lineRule="auto"/>
        <w:ind w:left="360" w:hanging="360"/>
      </w:pPr>
      <w:r>
        <w:t>3.</w:t>
      </w:r>
      <w:r>
        <w:tab/>
        <w:t>Není-li v této Smlouvě stanoveno jinak, odpovídá příslušná Smluvní strana za jakoukoli škodu, která druhé Smluvní straně vznikne v souvislosti s porušením povinností příslušné Smluvní strany podle této Smlouvy.</w:t>
      </w:r>
    </w:p>
    <w:p w:rsidR="00A42C43" w:rsidRDefault="00662C96">
      <w:pPr>
        <w:numPr>
          <w:ilvl w:val="0"/>
          <w:numId w:val="16"/>
        </w:numPr>
        <w:pBdr>
          <w:top w:val="nil"/>
          <w:left w:val="nil"/>
          <w:bottom w:val="nil"/>
          <w:right w:val="nil"/>
          <w:between w:val="nil"/>
        </w:pBdr>
        <w:spacing w:after="120" w:line="276" w:lineRule="auto"/>
      </w:pPr>
      <w:r>
        <w:rPr>
          <w:rFonts w:eastAsia="Arial" w:cs="Arial"/>
          <w:color w:val="000000"/>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1 000 000 Kč (slovy: jeden milion korun českých). </w:t>
      </w:r>
    </w:p>
    <w:p w:rsidR="00A42C43" w:rsidRDefault="00662C96">
      <w:pPr>
        <w:numPr>
          <w:ilvl w:val="0"/>
          <w:numId w:val="1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 xml:space="preserve">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w:t>
      </w:r>
      <w:r>
        <w:rPr>
          <w:rFonts w:eastAsia="Arial" w:cs="Arial"/>
          <w:color w:val="000000"/>
          <w:szCs w:val="20"/>
        </w:rPr>
        <w:lastRenderedPageBreak/>
        <w:t>pojistku a doklad o zaplacení pojistného na příslušné období, nebo pojistný certifikát, či obdobný doklad vydaný příslušnou pojišťovnou.</w:t>
      </w:r>
    </w:p>
    <w:p w:rsidR="00A42C43" w:rsidRDefault="00662C96">
      <w:pPr>
        <w:numPr>
          <w:ilvl w:val="0"/>
          <w:numId w:val="1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V případě nesplnění povinnosti Poskytovatele stanovené v odst. 2. nebo odst. 3. tohoto článku  je Objednatel oprávněn vyúčtovat Poskytovateli v každém jednotlivém případu smluvní pokutu ve výši 5 000 Kč (slovy: pět tisíc korun českých), a to za každý i jen započatý kalendářní den, kdy porušení této povinnosti trvá, a Poskytovatel je povinen tuto částku uhradit.</w:t>
      </w:r>
    </w:p>
    <w:p w:rsidR="00A42C43" w:rsidRDefault="00662C96">
      <w:pPr>
        <w:numPr>
          <w:ilvl w:val="0"/>
          <w:numId w:val="16"/>
        </w:numPr>
        <w:pBdr>
          <w:top w:val="nil"/>
          <w:left w:val="nil"/>
          <w:bottom w:val="nil"/>
          <w:right w:val="nil"/>
          <w:between w:val="nil"/>
        </w:pBdr>
        <w:spacing w:after="120" w:line="276" w:lineRule="auto"/>
        <w:rPr>
          <w:rFonts w:eastAsia="Arial" w:cs="Arial"/>
          <w:color w:val="000000"/>
          <w:szCs w:val="20"/>
        </w:rPr>
      </w:pPr>
      <w:r>
        <w:rPr>
          <w:rFonts w:eastAsia="Arial" w:cs="Arial"/>
          <w:color w:val="000000"/>
          <w:szCs w:val="20"/>
        </w:rPr>
        <w:t>Výši náhrady případně vzniklé škody nelze před porušením smluvní povinnosti, z něhož může nárok na náhradu škody vzniknout, dohodou Smluvních stran omezit.</w:t>
      </w:r>
    </w:p>
    <w:p w:rsidR="00A42C43" w:rsidRDefault="00A42C43">
      <w:pPr>
        <w:spacing w:after="120" w:line="276" w:lineRule="auto"/>
        <w:rPr>
          <w:b/>
        </w:rPr>
      </w:pPr>
    </w:p>
    <w:p w:rsidR="00A42C43" w:rsidRDefault="00662C96">
      <w:pPr>
        <w:spacing w:after="120" w:line="276" w:lineRule="auto"/>
        <w:ind w:left="284"/>
        <w:jc w:val="center"/>
        <w:rPr>
          <w:b/>
        </w:rPr>
      </w:pPr>
      <w:r>
        <w:rPr>
          <w:b/>
        </w:rPr>
        <w:t xml:space="preserve">Článek X. </w:t>
      </w:r>
    </w:p>
    <w:p w:rsidR="00A42C43" w:rsidRDefault="00662C96">
      <w:pPr>
        <w:spacing w:after="120" w:line="276" w:lineRule="auto"/>
        <w:ind w:left="284"/>
        <w:jc w:val="center"/>
        <w:rPr>
          <w:b/>
        </w:rPr>
      </w:pPr>
      <w:r>
        <w:rPr>
          <w:b/>
        </w:rPr>
        <w:t>Ochrana informací, osobních údajů a dat</w:t>
      </w:r>
    </w:p>
    <w:p w:rsidR="00A42C43" w:rsidRDefault="00662C96">
      <w:pPr>
        <w:numPr>
          <w:ilvl w:val="0"/>
          <w:numId w:val="13"/>
        </w:numPr>
        <w:spacing w:after="120" w:line="276" w:lineRule="auto"/>
        <w:ind w:left="284" w:hanging="284"/>
      </w:pPr>
      <w:bookmarkStart w:id="12" w:name="_heading=h.lnxbz9" w:colFirst="0" w:colLast="0"/>
      <w:bookmarkEnd w:id="12"/>
      <w:r>
        <w:t>Objednatel podle § 24 odst. 1 zákona č. 551/1991 Sb., o Všeobecné zdravotní pojišťovně České republiky, ve znění pozdějších předpisů (dále jen „</w:t>
      </w:r>
      <w:r>
        <w:rPr>
          <w:b/>
        </w:rPr>
        <w:t>zákon č. 551/1991 Sb.“),</w:t>
      </w:r>
      <w:r>
        <w:t xml:space="preserve"> spravuje, aktualizuje a rozvíjí informační systém Objednatele,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rsidR="00A42C43" w:rsidRDefault="00662C96">
      <w:pPr>
        <w:numPr>
          <w:ilvl w:val="0"/>
          <w:numId w:val="13"/>
        </w:numPr>
        <w:spacing w:after="120" w:line="276" w:lineRule="auto"/>
        <w:ind w:left="284" w:hanging="284"/>
      </w:pPr>
      <w:bookmarkStart w:id="13" w:name="_heading=h.35nkun2" w:colFirst="0" w:colLast="0"/>
      <w:bookmarkEnd w:id="13"/>
      <w: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podle tohoto odst. 2. tohoto článku se zavazuje zachovávat i Poskytovatel.</w:t>
      </w:r>
    </w:p>
    <w:p w:rsidR="00A42C43" w:rsidRDefault="00662C96">
      <w:pPr>
        <w:numPr>
          <w:ilvl w:val="0"/>
          <w:numId w:val="13"/>
        </w:numPr>
        <w:spacing w:after="120" w:line="276" w:lineRule="auto"/>
        <w:ind w:left="284" w:hanging="284"/>
      </w:pPr>
      <w:r>
        <w:t>Za porušení závazků uvedených v odst. 1. a 2. tohoto článku se považuje i využití těchto skutečností, údajů a dat, jakož i dalších vědomostí pro vlastní prospěch Poskytovatele, prospěch třetí osoby nebo pro jiné důvody.</w:t>
      </w:r>
    </w:p>
    <w:p w:rsidR="00A42C43" w:rsidRDefault="00662C96">
      <w:pPr>
        <w:numPr>
          <w:ilvl w:val="0"/>
          <w:numId w:val="13"/>
        </w:numPr>
        <w:spacing w:after="120" w:line="276" w:lineRule="auto"/>
        <w:ind w:left="284" w:hanging="284"/>
      </w:pPr>
      <w: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rsidR="00A42C43" w:rsidRDefault="00662C96">
      <w:pPr>
        <w:numPr>
          <w:ilvl w:val="0"/>
          <w:numId w:val="13"/>
        </w:numPr>
        <w:spacing w:after="120" w:line="276" w:lineRule="auto"/>
        <w:ind w:left="284" w:hanging="284"/>
      </w:pPr>
      <w:r>
        <w:t xml:space="preserve">Za porušení závazku uvedeného v odst. 1. tohoto článku je Poskytovatel povinen zaplatit objednateli v každém jednotlivém případě smluvní pokutu ve výši 1 000 000 Kč (slovy: jeden milion korun českých). </w:t>
      </w:r>
    </w:p>
    <w:p w:rsidR="00A42C43" w:rsidRDefault="00662C96">
      <w:pPr>
        <w:numPr>
          <w:ilvl w:val="0"/>
          <w:numId w:val="13"/>
        </w:numPr>
        <w:spacing w:after="120" w:line="276" w:lineRule="auto"/>
        <w:ind w:left="284" w:hanging="284"/>
      </w:pPr>
      <w:bookmarkStart w:id="14" w:name="_heading=h.1ksv4uv" w:colFirst="0" w:colLast="0"/>
      <w:bookmarkEnd w:id="14"/>
      <w:r>
        <w:t>Za porušení závazku uvedeného v odst. 2. tohoto článku je Poskytovatel povinen zaplatit Objednateli  v každém jednotlivém případě smluvní pokutu ve výši 100 000 Kč,</w:t>
      </w:r>
    </w:p>
    <w:p w:rsidR="00A42C43" w:rsidRDefault="00662C96">
      <w:pPr>
        <w:numPr>
          <w:ilvl w:val="0"/>
          <w:numId w:val="13"/>
        </w:numPr>
        <w:spacing w:after="120" w:line="276" w:lineRule="auto"/>
        <w:ind w:left="284" w:hanging="284"/>
      </w:pPr>
      <w:r>
        <w:t>Ujednáním o smluvní pokutě ani zaplacením smluvní pokuty není dotčeno právo Objednatele na náhradu škody vzniklé z porušení povinnosti, ke které se smluvní pokuta vztahuje, a to v celém rozsahu.</w:t>
      </w:r>
    </w:p>
    <w:p w:rsidR="00A42C43" w:rsidRDefault="00662C96">
      <w:pPr>
        <w:numPr>
          <w:ilvl w:val="0"/>
          <w:numId w:val="13"/>
        </w:numPr>
        <w:spacing w:after="120" w:line="276" w:lineRule="auto"/>
        <w:ind w:left="284" w:hanging="284"/>
      </w:pPr>
      <w:r>
        <w:t>Práva a závazky Smluvních stran uvedené v tomto článku trvají i po skončení smluvního vztahu založeného touto Smlouvou.</w:t>
      </w:r>
    </w:p>
    <w:p w:rsidR="00A42C43" w:rsidRDefault="00A42C43">
      <w:pPr>
        <w:spacing w:after="120" w:line="276" w:lineRule="auto"/>
        <w:ind w:left="284"/>
      </w:pPr>
    </w:p>
    <w:p w:rsidR="00A42C43" w:rsidRDefault="00662C96">
      <w:pPr>
        <w:spacing w:after="120" w:line="276" w:lineRule="auto"/>
        <w:ind w:left="284"/>
        <w:jc w:val="center"/>
        <w:rPr>
          <w:b/>
        </w:rPr>
      </w:pPr>
      <w:r>
        <w:rPr>
          <w:b/>
        </w:rPr>
        <w:t>Článek XI. Uveřejnění smlouvy</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Uveřejněním této Smlouvy dle odst. 1. tohoto článku se rozumí uveřejnění elektronického obrazu textového obsahu této Smlouvy ve formátu stanoveném zákonem o registru smluv, prostřednictvím registru smluv.</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Poskytovatel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Poskytovatel výslovně souhlasí s tím, že s výjimkou ustanovení znečitelněných v souladu se zákonem o registru smluv bude uveřejněno úplné znění této Smlouvy.</w:t>
      </w:r>
    </w:p>
    <w:p w:rsidR="00A42C43" w:rsidRDefault="00662C96">
      <w:pPr>
        <w:widowControl w:val="0"/>
        <w:numPr>
          <w:ilvl w:val="3"/>
          <w:numId w:val="9"/>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 xml:space="preserve">Objednatel výslovně souhlasí s tím, že s výjimkou ustanovení znečitelněných v souladu se zákonem o registru smluv bude uveřejněno úplné znění této Smlouvy. </w:t>
      </w:r>
    </w:p>
    <w:p w:rsidR="00A42C43" w:rsidRDefault="00A42C43">
      <w:pPr>
        <w:spacing w:after="120" w:line="276" w:lineRule="auto"/>
        <w:ind w:left="284"/>
        <w:jc w:val="center"/>
        <w:rPr>
          <w:b/>
        </w:rPr>
      </w:pPr>
    </w:p>
    <w:p w:rsidR="00A42C43" w:rsidRDefault="00662C96">
      <w:pPr>
        <w:spacing w:after="120" w:line="276" w:lineRule="auto"/>
        <w:ind w:left="284"/>
        <w:jc w:val="center"/>
        <w:rPr>
          <w:b/>
        </w:rPr>
      </w:pPr>
      <w:r>
        <w:rPr>
          <w:b/>
        </w:rPr>
        <w:t xml:space="preserve">Článek XII. Zvláštní ujednání </w:t>
      </w:r>
    </w:p>
    <w:p w:rsidR="00A42C43" w:rsidRDefault="00662C96">
      <w:pPr>
        <w:numPr>
          <w:ilvl w:val="0"/>
          <w:numId w:val="10"/>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 xml:space="preserve">Nezbytným předpokladem pro splnění předmětu plnění dle této Smlouvy je účinná a kvalifikovaná spolupráce obou Smluvních stran.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00A42C43" w:rsidRDefault="00662C96">
      <w:pPr>
        <w:numPr>
          <w:ilvl w:val="0"/>
          <w:numId w:val="10"/>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Poskytovatel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Objednateli a/nebo Poskytovateli a/nebo třetím osobám vznikly.</w:t>
      </w:r>
    </w:p>
    <w:p w:rsidR="00A42C43" w:rsidRDefault="00662C96">
      <w:pPr>
        <w:numPr>
          <w:ilvl w:val="0"/>
          <w:numId w:val="10"/>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rsidR="00A42C43" w:rsidRDefault="00A42C43">
      <w:pPr>
        <w:pBdr>
          <w:top w:val="nil"/>
          <w:left w:val="nil"/>
          <w:bottom w:val="nil"/>
          <w:right w:val="nil"/>
          <w:between w:val="nil"/>
        </w:pBdr>
        <w:spacing w:after="120" w:line="276" w:lineRule="auto"/>
        <w:ind w:left="284"/>
        <w:rPr>
          <w:rFonts w:eastAsia="Arial" w:cs="Arial"/>
          <w:color w:val="000000"/>
          <w:szCs w:val="20"/>
        </w:rPr>
      </w:pPr>
    </w:p>
    <w:p w:rsidR="00A42C43" w:rsidRDefault="00A42C43">
      <w:pPr>
        <w:pBdr>
          <w:top w:val="nil"/>
          <w:left w:val="nil"/>
          <w:bottom w:val="nil"/>
          <w:right w:val="nil"/>
          <w:between w:val="nil"/>
        </w:pBdr>
        <w:spacing w:after="120" w:line="276" w:lineRule="auto"/>
        <w:ind w:left="284"/>
        <w:rPr>
          <w:rFonts w:eastAsia="Arial" w:cs="Arial"/>
          <w:color w:val="000000"/>
          <w:szCs w:val="20"/>
        </w:rPr>
      </w:pPr>
    </w:p>
    <w:p w:rsidR="00A42C43" w:rsidRDefault="00A42C43">
      <w:pPr>
        <w:pBdr>
          <w:top w:val="nil"/>
          <w:left w:val="nil"/>
          <w:bottom w:val="nil"/>
          <w:right w:val="nil"/>
          <w:between w:val="nil"/>
        </w:pBdr>
        <w:spacing w:after="120" w:line="276" w:lineRule="auto"/>
        <w:ind w:left="284"/>
        <w:rPr>
          <w:rFonts w:eastAsia="Arial" w:cs="Arial"/>
          <w:color w:val="000000"/>
          <w:szCs w:val="20"/>
        </w:rPr>
      </w:pPr>
    </w:p>
    <w:p w:rsidR="00A42C43" w:rsidRDefault="00662C96">
      <w:pPr>
        <w:pBdr>
          <w:top w:val="nil"/>
          <w:left w:val="nil"/>
          <w:bottom w:val="nil"/>
          <w:right w:val="nil"/>
          <w:between w:val="nil"/>
        </w:pBdr>
        <w:tabs>
          <w:tab w:val="left" w:pos="1701"/>
        </w:tabs>
        <w:spacing w:after="120" w:line="276" w:lineRule="auto"/>
        <w:ind w:left="425" w:hanging="425"/>
        <w:jc w:val="center"/>
        <w:rPr>
          <w:rFonts w:eastAsia="Arial" w:cs="Arial"/>
          <w:color w:val="000000"/>
          <w:szCs w:val="20"/>
        </w:rPr>
      </w:pPr>
      <w:bookmarkStart w:id="15" w:name="_heading=h.44sinio" w:colFirst="0" w:colLast="0"/>
      <w:bookmarkEnd w:id="15"/>
      <w:r>
        <w:rPr>
          <w:rFonts w:eastAsia="Arial" w:cs="Arial"/>
          <w:b/>
          <w:color w:val="000000"/>
          <w:szCs w:val="20"/>
        </w:rPr>
        <w:lastRenderedPageBreak/>
        <w:t>Článek XIII. Ostatní ustanovení</w:t>
      </w:r>
      <w:r>
        <w:rPr>
          <w:rFonts w:eastAsia="Arial" w:cs="Arial"/>
          <w:color w:val="000000"/>
          <w:szCs w:val="20"/>
        </w:rPr>
        <w:t xml:space="preserve"> </w:t>
      </w:r>
    </w:p>
    <w:p w:rsidR="00A42C43" w:rsidRDefault="00662C96">
      <w:pPr>
        <w:numPr>
          <w:ilvl w:val="0"/>
          <w:numId w:val="4"/>
        </w:numPr>
        <w:spacing w:after="120" w:line="276" w:lineRule="auto"/>
        <w:ind w:left="284" w:hanging="284"/>
      </w:pPr>
      <w:r>
        <w:t>Tato Smlouva se uzavírá na dobu určitou, která skončí uplynutím 48 měsíců poskytování podpory dle této Smlouvy.</w:t>
      </w:r>
    </w:p>
    <w:p w:rsidR="00A42C43" w:rsidRDefault="00662C96">
      <w:pPr>
        <w:numPr>
          <w:ilvl w:val="0"/>
          <w:numId w:val="4"/>
        </w:numPr>
        <w:spacing w:after="120" w:line="276" w:lineRule="auto"/>
        <w:ind w:left="284" w:hanging="284"/>
      </w:pPr>
      <w:r>
        <w:t>Tato Smlouva může být předčasně ukončena písemnou dohodou Smluvních stran podepsanou oprávněnými zástupci obou Smluvních stran.</w:t>
      </w:r>
    </w:p>
    <w:p w:rsidR="00A42C43" w:rsidRDefault="00662C96">
      <w:pPr>
        <w:numPr>
          <w:ilvl w:val="0"/>
          <w:numId w:val="4"/>
        </w:numPr>
        <w:spacing w:after="120" w:line="276" w:lineRule="auto"/>
        <w:ind w:left="284" w:hanging="284"/>
      </w:pPr>
      <w:r>
        <w:t xml:space="preserve">Každá ze Smluvních stran může od této Smlouvy odstoupit v případech stanovených touto Smlouvou nebo zákonem, zejména pak dle ustanovení § 1977 a násl. a § 2001 a násl. občanského zákoníku. Účinky odstoupení nastávají dnem doručení oznámení o odstoupení příslušné Smluvní straně. </w:t>
      </w:r>
    </w:p>
    <w:p w:rsidR="00A42C43" w:rsidRDefault="00662C96">
      <w:pPr>
        <w:numPr>
          <w:ilvl w:val="0"/>
          <w:numId w:val="4"/>
        </w:numPr>
        <w:spacing w:after="120" w:line="276" w:lineRule="auto"/>
        <w:ind w:left="284" w:hanging="284"/>
      </w:pPr>
      <w:r>
        <w:t>Objednatel je oprávněn bez uvedení důvodu Smlouvu písemně vypovědět poskytování podpory, a to vždy s účinností k prvnímu dni druhého nebo třetího nebo čtvrtého 12měsíčního období poskytování podpory. Výpověď musí být Poskytovateli odeslána nejpozději 3 měsíce před koncem předcházejícího příslušného 12měsíčního období poskytování podpory.</w:t>
      </w:r>
    </w:p>
    <w:p w:rsidR="00A42C43" w:rsidRDefault="00662C96">
      <w:pPr>
        <w:numPr>
          <w:ilvl w:val="0"/>
          <w:numId w:val="4"/>
        </w:numPr>
        <w:spacing w:after="120" w:line="276" w:lineRule="auto"/>
        <w:ind w:left="284" w:hanging="284"/>
      </w:pPr>
      <w: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rsidR="00A42C43" w:rsidRDefault="00662C96">
      <w:pPr>
        <w:numPr>
          <w:ilvl w:val="0"/>
          <w:numId w:val="4"/>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Pro účely odstoupení od této Smlouvy se za podstatné porušení smluvních povinností považuje prokazatelné porušení povinností Poskytovatele uvedených v čl. X. Smlouvy.</w:t>
      </w:r>
    </w:p>
    <w:p w:rsidR="00A42C43" w:rsidRDefault="00662C96">
      <w:pPr>
        <w:numPr>
          <w:ilvl w:val="0"/>
          <w:numId w:val="4"/>
        </w:numPr>
        <w:pBdr>
          <w:top w:val="nil"/>
          <w:left w:val="nil"/>
          <w:bottom w:val="nil"/>
          <w:right w:val="nil"/>
          <w:between w:val="nil"/>
        </w:pBdr>
        <w:spacing w:after="120" w:line="276" w:lineRule="auto"/>
        <w:ind w:left="284" w:hanging="284"/>
        <w:rPr>
          <w:rFonts w:eastAsia="Arial" w:cs="Arial"/>
          <w:color w:val="000000"/>
          <w:szCs w:val="20"/>
        </w:rPr>
      </w:pPr>
      <w:r>
        <w:rPr>
          <w:rFonts w:eastAsia="Arial" w:cs="Arial"/>
          <w:color w:val="000000"/>
          <w:szCs w:val="20"/>
        </w:rPr>
        <w:t>Jakýmkoliv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apod.).</w:t>
      </w:r>
    </w:p>
    <w:p w:rsidR="00A42C43" w:rsidRDefault="00A42C43">
      <w:pPr>
        <w:pBdr>
          <w:top w:val="nil"/>
          <w:left w:val="nil"/>
          <w:bottom w:val="nil"/>
          <w:right w:val="nil"/>
          <w:between w:val="nil"/>
        </w:pBdr>
        <w:spacing w:after="120" w:line="276" w:lineRule="auto"/>
        <w:ind w:left="284"/>
        <w:rPr>
          <w:rFonts w:eastAsia="Arial" w:cs="Arial"/>
          <w:color w:val="000000"/>
          <w:szCs w:val="20"/>
        </w:rPr>
      </w:pPr>
    </w:p>
    <w:p w:rsidR="00A42C43" w:rsidRDefault="00662C96">
      <w:pPr>
        <w:spacing w:after="120" w:line="276" w:lineRule="auto"/>
        <w:ind w:left="426"/>
        <w:jc w:val="center"/>
      </w:pPr>
      <w:r>
        <w:rPr>
          <w:b/>
        </w:rPr>
        <w:t>Článek XIV. Závěrečná ustanovení</w:t>
      </w:r>
    </w:p>
    <w:p w:rsidR="00A42C43" w:rsidRDefault="00662C96">
      <w:pPr>
        <w:numPr>
          <w:ilvl w:val="1"/>
          <w:numId w:val="15"/>
        </w:numPr>
        <w:spacing w:after="120" w:line="276" w:lineRule="auto"/>
        <w:ind w:left="284" w:hanging="284"/>
      </w:pPr>
      <w:r>
        <w:t>Tato Smlouva nabývá platnosti dnem jejího podpisu poslední Smluvní stranou a účinnosti dnem uveřejnění prostřednictvím registru smluv. Poskytování plnění podle této Smlouvy se řídí příslušnými ustanoveními této Smlouvy.</w:t>
      </w:r>
    </w:p>
    <w:p w:rsidR="00A42C43" w:rsidRDefault="00662C96">
      <w:pPr>
        <w:numPr>
          <w:ilvl w:val="1"/>
          <w:numId w:val="15"/>
        </w:numPr>
        <w:spacing w:after="120" w:line="276" w:lineRule="auto"/>
        <w:ind w:left="284" w:hanging="284"/>
      </w:pPr>
      <w: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 pokud není touto Smlouvou stanoveno jinak. Uzavření písemného smluvního dodatku podle tohoto odstavce se nevyžaduje pouze v případě změny Pověřených osob Smluvních stran nebo jejich kontaktních údajů.</w:t>
      </w:r>
    </w:p>
    <w:p w:rsidR="00A42C43" w:rsidRDefault="00662C96">
      <w:pPr>
        <w:numPr>
          <w:ilvl w:val="1"/>
          <w:numId w:val="15"/>
        </w:numPr>
        <w:spacing w:after="120" w:line="276" w:lineRule="auto"/>
        <w:ind w:left="284" w:hanging="284"/>
      </w:pPr>
      <w:r>
        <w:t>Osobami pověřenými k jednání ve věcech plnění této Smlouvy (dále jen „</w:t>
      </w:r>
      <w:r>
        <w:rPr>
          <w:b/>
        </w:rPr>
        <w:t>Pověřené osoby</w:t>
      </w:r>
      <w:r>
        <w:t>“) jsou:</w:t>
      </w:r>
    </w:p>
    <w:p w:rsidR="00A42C43" w:rsidRDefault="00662C96">
      <w:pPr>
        <w:spacing w:after="120" w:line="276" w:lineRule="auto"/>
        <w:ind w:left="425"/>
      </w:pPr>
      <w:r>
        <w:t>Za Objednatele:</w:t>
      </w:r>
    </w:p>
    <w:tbl>
      <w:tblPr>
        <w:tblStyle w:val="a0"/>
        <w:tblW w:w="8861" w:type="dxa"/>
        <w:tblInd w:w="425" w:type="dxa"/>
        <w:tblLayout w:type="fixed"/>
        <w:tblLook w:val="0400" w:firstRow="0" w:lastRow="0" w:firstColumn="0" w:lastColumn="0" w:noHBand="0" w:noVBand="1"/>
      </w:tblPr>
      <w:tblGrid>
        <w:gridCol w:w="2235"/>
        <w:gridCol w:w="6626"/>
      </w:tblGrid>
      <w:tr w:rsidR="005D16CC" w:rsidTr="005D16CC">
        <w:trPr>
          <w:trHeight w:val="504"/>
        </w:trPr>
        <w:tc>
          <w:tcPr>
            <w:tcW w:w="2235" w:type="dxa"/>
            <w:shd w:val="clear" w:color="auto" w:fill="auto"/>
            <w:vAlign w:val="center"/>
          </w:tcPr>
          <w:p w:rsidR="005D16CC" w:rsidRDefault="005D16CC" w:rsidP="005D16CC">
            <w:pPr>
              <w:spacing w:before="120" w:after="120" w:line="276" w:lineRule="auto"/>
            </w:pPr>
            <w:r>
              <w:t>Jméno a příjmení:</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r w:rsidR="005D16CC" w:rsidTr="005D16CC">
        <w:trPr>
          <w:trHeight w:val="504"/>
        </w:trPr>
        <w:tc>
          <w:tcPr>
            <w:tcW w:w="2235" w:type="dxa"/>
            <w:shd w:val="clear" w:color="auto" w:fill="auto"/>
            <w:vAlign w:val="center"/>
          </w:tcPr>
          <w:p w:rsidR="005D16CC" w:rsidRDefault="005D16CC" w:rsidP="005D16CC">
            <w:pPr>
              <w:spacing w:before="120" w:after="120" w:line="276" w:lineRule="auto"/>
            </w:pPr>
            <w:r>
              <w:t>E-mail:</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r w:rsidR="005D16CC" w:rsidTr="005D16CC">
        <w:trPr>
          <w:trHeight w:val="505"/>
        </w:trPr>
        <w:tc>
          <w:tcPr>
            <w:tcW w:w="2235" w:type="dxa"/>
            <w:shd w:val="clear" w:color="auto" w:fill="auto"/>
            <w:vAlign w:val="center"/>
          </w:tcPr>
          <w:p w:rsidR="005D16CC" w:rsidRDefault="005D16CC" w:rsidP="005D16CC">
            <w:pPr>
              <w:spacing w:before="120" w:after="120" w:line="276" w:lineRule="auto"/>
            </w:pPr>
            <w:r>
              <w:t>Telefon:</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bl>
    <w:p w:rsidR="00A42C43" w:rsidRDefault="00662C96">
      <w:pPr>
        <w:spacing w:before="120" w:after="120" w:line="276" w:lineRule="auto"/>
        <w:ind w:left="425"/>
      </w:pPr>
      <w:r>
        <w:t>nebo</w:t>
      </w:r>
    </w:p>
    <w:tbl>
      <w:tblPr>
        <w:tblStyle w:val="a1"/>
        <w:tblW w:w="8861" w:type="dxa"/>
        <w:tblInd w:w="425" w:type="dxa"/>
        <w:tblLayout w:type="fixed"/>
        <w:tblLook w:val="0400" w:firstRow="0" w:lastRow="0" w:firstColumn="0" w:lastColumn="0" w:noHBand="0" w:noVBand="1"/>
      </w:tblPr>
      <w:tblGrid>
        <w:gridCol w:w="2235"/>
        <w:gridCol w:w="6626"/>
      </w:tblGrid>
      <w:tr w:rsidR="005D16CC" w:rsidTr="005D16CC">
        <w:trPr>
          <w:trHeight w:val="504"/>
        </w:trPr>
        <w:tc>
          <w:tcPr>
            <w:tcW w:w="2235" w:type="dxa"/>
            <w:shd w:val="clear" w:color="auto" w:fill="auto"/>
            <w:vAlign w:val="center"/>
          </w:tcPr>
          <w:p w:rsidR="005D16CC" w:rsidRDefault="005D16CC" w:rsidP="005D16CC">
            <w:pPr>
              <w:spacing w:before="120" w:after="120" w:line="276" w:lineRule="auto"/>
            </w:pPr>
            <w:r>
              <w:t>Jméno a příjmení:</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r w:rsidR="005D16CC" w:rsidTr="005D16CC">
        <w:trPr>
          <w:trHeight w:val="504"/>
        </w:trPr>
        <w:tc>
          <w:tcPr>
            <w:tcW w:w="2235" w:type="dxa"/>
            <w:shd w:val="clear" w:color="auto" w:fill="auto"/>
            <w:vAlign w:val="center"/>
          </w:tcPr>
          <w:p w:rsidR="005D16CC" w:rsidRDefault="005D16CC" w:rsidP="005D16CC">
            <w:pPr>
              <w:spacing w:before="120" w:after="120" w:line="276" w:lineRule="auto"/>
            </w:pPr>
            <w:r>
              <w:t>E-mail:</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r w:rsidR="005D16CC" w:rsidTr="005D16CC">
        <w:trPr>
          <w:trHeight w:val="505"/>
        </w:trPr>
        <w:tc>
          <w:tcPr>
            <w:tcW w:w="2235" w:type="dxa"/>
            <w:shd w:val="clear" w:color="auto" w:fill="auto"/>
            <w:vAlign w:val="center"/>
          </w:tcPr>
          <w:p w:rsidR="005D16CC" w:rsidRDefault="005D16CC" w:rsidP="005D16CC">
            <w:pPr>
              <w:spacing w:before="120" w:after="120" w:line="276" w:lineRule="auto"/>
            </w:pPr>
            <w:r>
              <w:lastRenderedPageBreak/>
              <w:t>Telefon:</w:t>
            </w:r>
          </w:p>
        </w:tc>
        <w:tc>
          <w:tcPr>
            <w:tcW w:w="6626" w:type="dxa"/>
            <w:vAlign w:val="center"/>
          </w:tcPr>
          <w:p w:rsidR="005D16CC" w:rsidRPr="0060486C" w:rsidRDefault="00BB0844" w:rsidP="005D16CC">
            <w:pPr>
              <w:spacing w:before="120" w:after="120" w:line="276" w:lineRule="auto"/>
              <w:rPr>
                <w:rFonts w:cs="Arial"/>
                <w:szCs w:val="20"/>
              </w:rPr>
            </w:pPr>
            <w:proofErr w:type="spellStart"/>
            <w:r>
              <w:rPr>
                <w:rFonts w:cs="Arial"/>
                <w:szCs w:val="20"/>
              </w:rPr>
              <w:t>XXXXXXXXXXXXXX</w:t>
            </w:r>
            <w:proofErr w:type="spellEnd"/>
          </w:p>
        </w:tc>
      </w:tr>
    </w:tbl>
    <w:p w:rsidR="005D16CC" w:rsidRDefault="005D16CC" w:rsidP="005D16CC">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D16CC" w:rsidRPr="0060486C" w:rsidTr="00D140A6">
        <w:trPr>
          <w:trHeight w:val="504"/>
        </w:trPr>
        <w:tc>
          <w:tcPr>
            <w:tcW w:w="2235" w:type="dxa"/>
            <w:shd w:val="clear" w:color="auto" w:fill="auto"/>
            <w:vAlign w:val="center"/>
          </w:tcPr>
          <w:p w:rsidR="005D16CC" w:rsidRPr="0060486C" w:rsidRDefault="005D16CC" w:rsidP="00D140A6">
            <w:pPr>
              <w:spacing w:before="120" w:after="120" w:line="276" w:lineRule="auto"/>
              <w:rPr>
                <w:rFonts w:cs="Arial"/>
                <w:szCs w:val="20"/>
              </w:rPr>
            </w:pPr>
            <w:r w:rsidRPr="0060486C">
              <w:rPr>
                <w:rFonts w:cs="Arial"/>
                <w:szCs w:val="20"/>
              </w:rPr>
              <w:t>Jméno a příjmení:</w:t>
            </w:r>
          </w:p>
        </w:tc>
        <w:tc>
          <w:tcPr>
            <w:tcW w:w="6626" w:type="dxa"/>
            <w:vAlign w:val="center"/>
          </w:tcPr>
          <w:p w:rsidR="005D16CC" w:rsidRPr="0060486C" w:rsidRDefault="00BB0844" w:rsidP="00D140A6">
            <w:pPr>
              <w:spacing w:before="120" w:after="120" w:line="276" w:lineRule="auto"/>
              <w:rPr>
                <w:rFonts w:cs="Arial"/>
                <w:szCs w:val="20"/>
              </w:rPr>
            </w:pPr>
            <w:proofErr w:type="spellStart"/>
            <w:r>
              <w:rPr>
                <w:rFonts w:cs="Arial"/>
                <w:szCs w:val="20"/>
              </w:rPr>
              <w:t>XXXXXXXXXXXXXX</w:t>
            </w:r>
            <w:proofErr w:type="spellEnd"/>
          </w:p>
        </w:tc>
      </w:tr>
      <w:tr w:rsidR="005D16CC" w:rsidRPr="0060486C" w:rsidTr="00D140A6">
        <w:trPr>
          <w:trHeight w:val="504"/>
        </w:trPr>
        <w:tc>
          <w:tcPr>
            <w:tcW w:w="2235" w:type="dxa"/>
            <w:shd w:val="clear" w:color="auto" w:fill="auto"/>
            <w:vAlign w:val="center"/>
          </w:tcPr>
          <w:p w:rsidR="005D16CC" w:rsidRPr="0060486C" w:rsidRDefault="005D16CC" w:rsidP="00D140A6">
            <w:pPr>
              <w:spacing w:before="120" w:after="120" w:line="276" w:lineRule="auto"/>
              <w:rPr>
                <w:rFonts w:cs="Arial"/>
                <w:szCs w:val="20"/>
              </w:rPr>
            </w:pPr>
            <w:r w:rsidRPr="0060486C">
              <w:rPr>
                <w:rFonts w:cs="Arial"/>
                <w:szCs w:val="20"/>
              </w:rPr>
              <w:t>E-mail:</w:t>
            </w:r>
          </w:p>
        </w:tc>
        <w:tc>
          <w:tcPr>
            <w:tcW w:w="6626" w:type="dxa"/>
            <w:vAlign w:val="center"/>
          </w:tcPr>
          <w:p w:rsidR="005D16CC" w:rsidRPr="0060486C" w:rsidRDefault="00C41039" w:rsidP="00D140A6">
            <w:pPr>
              <w:spacing w:before="120" w:after="120" w:line="276" w:lineRule="auto"/>
              <w:rPr>
                <w:rFonts w:cs="Arial"/>
                <w:szCs w:val="20"/>
              </w:rPr>
            </w:pPr>
            <w:proofErr w:type="spellStart"/>
            <w:r>
              <w:rPr>
                <w:rFonts w:cs="Arial"/>
                <w:szCs w:val="20"/>
              </w:rPr>
              <w:t>XXXXXXXXXXXXXX</w:t>
            </w:r>
            <w:proofErr w:type="spellEnd"/>
          </w:p>
        </w:tc>
      </w:tr>
      <w:tr w:rsidR="005D16CC" w:rsidRPr="0060486C" w:rsidTr="00D140A6">
        <w:trPr>
          <w:trHeight w:val="505"/>
        </w:trPr>
        <w:tc>
          <w:tcPr>
            <w:tcW w:w="2235" w:type="dxa"/>
            <w:shd w:val="clear" w:color="auto" w:fill="auto"/>
            <w:vAlign w:val="center"/>
          </w:tcPr>
          <w:p w:rsidR="005D16CC" w:rsidRPr="0060486C" w:rsidRDefault="005D16CC" w:rsidP="00D140A6">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rsidR="005D16CC" w:rsidRPr="0060486C" w:rsidRDefault="00C41039" w:rsidP="00D140A6">
            <w:pPr>
              <w:spacing w:before="120" w:after="120" w:line="276" w:lineRule="auto"/>
              <w:rPr>
                <w:rFonts w:cs="Arial"/>
                <w:szCs w:val="20"/>
              </w:rPr>
            </w:pPr>
            <w:proofErr w:type="spellStart"/>
            <w:r>
              <w:rPr>
                <w:rFonts w:cs="Arial"/>
                <w:szCs w:val="20"/>
              </w:rPr>
              <w:t>XXXXXXXXXXXXXX</w:t>
            </w:r>
            <w:proofErr w:type="spellEnd"/>
          </w:p>
        </w:tc>
      </w:tr>
    </w:tbl>
    <w:p w:rsidR="005D16CC" w:rsidRDefault="005D16CC" w:rsidP="005D16CC">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D16CC" w:rsidRPr="0060486C" w:rsidTr="00D140A6">
        <w:trPr>
          <w:trHeight w:val="504"/>
        </w:trPr>
        <w:tc>
          <w:tcPr>
            <w:tcW w:w="2235" w:type="dxa"/>
            <w:shd w:val="clear" w:color="auto" w:fill="auto"/>
            <w:vAlign w:val="center"/>
          </w:tcPr>
          <w:p w:rsidR="005D16CC" w:rsidRPr="0060486C" w:rsidRDefault="005D16CC" w:rsidP="00D140A6">
            <w:pPr>
              <w:spacing w:before="120" w:after="120" w:line="276" w:lineRule="auto"/>
              <w:rPr>
                <w:rFonts w:cs="Arial"/>
                <w:szCs w:val="20"/>
              </w:rPr>
            </w:pPr>
            <w:r w:rsidRPr="0060486C">
              <w:rPr>
                <w:rFonts w:cs="Arial"/>
                <w:szCs w:val="20"/>
              </w:rPr>
              <w:t>Jméno a příjmení:</w:t>
            </w:r>
          </w:p>
        </w:tc>
        <w:tc>
          <w:tcPr>
            <w:tcW w:w="6626" w:type="dxa"/>
            <w:vAlign w:val="center"/>
          </w:tcPr>
          <w:p w:rsidR="005D16CC" w:rsidRPr="0060486C" w:rsidRDefault="00C41039" w:rsidP="00D140A6">
            <w:pPr>
              <w:spacing w:before="120" w:after="120" w:line="276" w:lineRule="auto"/>
              <w:rPr>
                <w:rFonts w:cs="Arial"/>
                <w:szCs w:val="20"/>
              </w:rPr>
            </w:pPr>
            <w:proofErr w:type="spellStart"/>
            <w:r>
              <w:rPr>
                <w:rFonts w:cs="Arial"/>
                <w:szCs w:val="20"/>
              </w:rPr>
              <w:t>XXXXXXXXXXXXXX</w:t>
            </w:r>
            <w:proofErr w:type="spellEnd"/>
          </w:p>
        </w:tc>
      </w:tr>
      <w:tr w:rsidR="005D16CC" w:rsidRPr="0060486C" w:rsidTr="00D140A6">
        <w:trPr>
          <w:trHeight w:val="504"/>
        </w:trPr>
        <w:tc>
          <w:tcPr>
            <w:tcW w:w="2235" w:type="dxa"/>
            <w:shd w:val="clear" w:color="auto" w:fill="auto"/>
            <w:vAlign w:val="center"/>
          </w:tcPr>
          <w:p w:rsidR="005D16CC" w:rsidRPr="0060486C" w:rsidRDefault="005D16CC" w:rsidP="00D140A6">
            <w:pPr>
              <w:spacing w:before="120" w:after="120" w:line="276" w:lineRule="auto"/>
              <w:rPr>
                <w:rFonts w:cs="Arial"/>
                <w:szCs w:val="20"/>
              </w:rPr>
            </w:pPr>
            <w:r w:rsidRPr="0060486C">
              <w:rPr>
                <w:rFonts w:cs="Arial"/>
                <w:szCs w:val="20"/>
              </w:rPr>
              <w:t>E-mail:</w:t>
            </w:r>
          </w:p>
        </w:tc>
        <w:tc>
          <w:tcPr>
            <w:tcW w:w="6626" w:type="dxa"/>
            <w:vAlign w:val="center"/>
          </w:tcPr>
          <w:p w:rsidR="005D16CC" w:rsidRPr="0060486C" w:rsidRDefault="00C41039" w:rsidP="00D140A6">
            <w:pPr>
              <w:spacing w:before="120" w:after="120" w:line="276" w:lineRule="auto"/>
              <w:rPr>
                <w:rFonts w:cs="Arial"/>
                <w:szCs w:val="20"/>
              </w:rPr>
            </w:pPr>
            <w:proofErr w:type="spellStart"/>
            <w:r>
              <w:rPr>
                <w:rFonts w:cs="Arial"/>
                <w:szCs w:val="20"/>
              </w:rPr>
              <w:t>XXXXXXXXXXXXXX</w:t>
            </w:r>
            <w:proofErr w:type="spellEnd"/>
          </w:p>
        </w:tc>
      </w:tr>
      <w:tr w:rsidR="005D16CC" w:rsidRPr="0060486C" w:rsidTr="00D140A6">
        <w:trPr>
          <w:trHeight w:val="505"/>
        </w:trPr>
        <w:tc>
          <w:tcPr>
            <w:tcW w:w="2235" w:type="dxa"/>
            <w:shd w:val="clear" w:color="auto" w:fill="auto"/>
            <w:vAlign w:val="center"/>
          </w:tcPr>
          <w:p w:rsidR="005D16CC" w:rsidRPr="0060486C" w:rsidRDefault="005D16CC" w:rsidP="00D140A6">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rsidR="005D16CC" w:rsidRPr="0060486C" w:rsidRDefault="00C41039" w:rsidP="00D140A6">
            <w:pPr>
              <w:spacing w:before="120" w:after="120" w:line="276" w:lineRule="auto"/>
              <w:rPr>
                <w:rFonts w:cs="Arial"/>
                <w:szCs w:val="20"/>
              </w:rPr>
            </w:pPr>
            <w:proofErr w:type="spellStart"/>
            <w:r>
              <w:rPr>
                <w:rFonts w:cs="Arial"/>
                <w:szCs w:val="20"/>
              </w:rPr>
              <w:t>XXXXXXXXXXXXXX</w:t>
            </w:r>
            <w:proofErr w:type="spellEnd"/>
          </w:p>
        </w:tc>
      </w:tr>
    </w:tbl>
    <w:p w:rsidR="005D16CC" w:rsidRDefault="005D16CC">
      <w:pPr>
        <w:spacing w:before="120" w:after="120" w:line="276" w:lineRule="auto"/>
        <w:ind w:left="425"/>
      </w:pPr>
    </w:p>
    <w:p w:rsidR="00A42C43" w:rsidRDefault="00662C96">
      <w:pPr>
        <w:spacing w:before="120" w:after="120" w:line="276" w:lineRule="auto"/>
        <w:ind w:left="425"/>
      </w:pPr>
      <w:r>
        <w:t>Za Poskytovatele:</w:t>
      </w:r>
    </w:p>
    <w:tbl>
      <w:tblPr>
        <w:tblStyle w:val="a2"/>
        <w:tblW w:w="8861" w:type="dxa"/>
        <w:tblInd w:w="425" w:type="dxa"/>
        <w:tblLayout w:type="fixed"/>
        <w:tblLook w:val="0400" w:firstRow="0" w:lastRow="0" w:firstColumn="0" w:lastColumn="0" w:noHBand="0" w:noVBand="1"/>
      </w:tblPr>
      <w:tblGrid>
        <w:gridCol w:w="2235"/>
        <w:gridCol w:w="6626"/>
      </w:tblGrid>
      <w:tr w:rsidR="00A42C43">
        <w:trPr>
          <w:trHeight w:val="504"/>
        </w:trPr>
        <w:tc>
          <w:tcPr>
            <w:tcW w:w="2235" w:type="dxa"/>
            <w:shd w:val="clear" w:color="auto" w:fill="auto"/>
            <w:vAlign w:val="center"/>
          </w:tcPr>
          <w:p w:rsidR="00A42C43" w:rsidRDefault="00662C96">
            <w:pPr>
              <w:spacing w:before="120" w:after="120" w:line="276" w:lineRule="auto"/>
            </w:pPr>
            <w:r>
              <w:t>Jméno a příjmení:</w:t>
            </w:r>
          </w:p>
        </w:tc>
        <w:tc>
          <w:tcPr>
            <w:tcW w:w="6626" w:type="dxa"/>
          </w:tcPr>
          <w:p w:rsidR="00A42C43" w:rsidRDefault="00662C96">
            <w:pPr>
              <w:spacing w:before="120" w:after="120" w:line="276" w:lineRule="auto"/>
            </w:pPr>
            <w:r>
              <w:rPr>
                <w:color w:val="000000"/>
              </w:rPr>
              <w:t>Jindřich Kasal</w:t>
            </w:r>
          </w:p>
        </w:tc>
      </w:tr>
      <w:tr w:rsidR="00A42C43">
        <w:trPr>
          <w:trHeight w:val="504"/>
        </w:trPr>
        <w:tc>
          <w:tcPr>
            <w:tcW w:w="2235" w:type="dxa"/>
            <w:shd w:val="clear" w:color="auto" w:fill="auto"/>
            <w:vAlign w:val="center"/>
          </w:tcPr>
          <w:p w:rsidR="00A42C43" w:rsidRDefault="00662C96">
            <w:pPr>
              <w:spacing w:before="120" w:after="120" w:line="276" w:lineRule="auto"/>
            </w:pPr>
            <w:r>
              <w:t xml:space="preserve">Funkce: </w:t>
            </w:r>
          </w:p>
        </w:tc>
        <w:tc>
          <w:tcPr>
            <w:tcW w:w="6626" w:type="dxa"/>
          </w:tcPr>
          <w:p w:rsidR="00A42C43" w:rsidRDefault="00662C96">
            <w:pPr>
              <w:spacing w:before="120" w:after="120" w:line="276" w:lineRule="auto"/>
              <w:rPr>
                <w:i/>
                <w:highlight w:val="lightGray"/>
              </w:rPr>
            </w:pPr>
            <w:r>
              <w:rPr>
                <w:color w:val="000000"/>
              </w:rPr>
              <w:t>jednatel společnosti</w:t>
            </w:r>
          </w:p>
        </w:tc>
      </w:tr>
      <w:tr w:rsidR="00A42C43">
        <w:trPr>
          <w:trHeight w:val="504"/>
        </w:trPr>
        <w:tc>
          <w:tcPr>
            <w:tcW w:w="2235" w:type="dxa"/>
            <w:shd w:val="clear" w:color="auto" w:fill="auto"/>
            <w:vAlign w:val="center"/>
          </w:tcPr>
          <w:p w:rsidR="00A42C43" w:rsidRDefault="00662C96">
            <w:pPr>
              <w:spacing w:before="120" w:after="120" w:line="276" w:lineRule="auto"/>
            </w:pPr>
            <w:r>
              <w:t>E-mail:</w:t>
            </w:r>
          </w:p>
        </w:tc>
        <w:tc>
          <w:tcPr>
            <w:tcW w:w="6626" w:type="dxa"/>
          </w:tcPr>
          <w:p w:rsidR="00A42C43" w:rsidRDefault="00C41039">
            <w:pPr>
              <w:spacing w:before="120" w:after="120" w:line="276" w:lineRule="auto"/>
            </w:pPr>
            <w:proofErr w:type="spellStart"/>
            <w:r>
              <w:rPr>
                <w:rFonts w:cs="Arial"/>
                <w:szCs w:val="20"/>
              </w:rPr>
              <w:t>XXXXXXXXXXXXXX</w:t>
            </w:r>
            <w:proofErr w:type="spellEnd"/>
          </w:p>
        </w:tc>
      </w:tr>
      <w:tr w:rsidR="00A42C43">
        <w:trPr>
          <w:trHeight w:val="505"/>
        </w:trPr>
        <w:tc>
          <w:tcPr>
            <w:tcW w:w="2235" w:type="dxa"/>
            <w:shd w:val="clear" w:color="auto" w:fill="auto"/>
            <w:vAlign w:val="center"/>
          </w:tcPr>
          <w:p w:rsidR="00A42C43" w:rsidRDefault="00662C96">
            <w:pPr>
              <w:spacing w:before="120" w:after="120" w:line="276" w:lineRule="auto"/>
            </w:pPr>
            <w:r>
              <w:t>Telefon:</w:t>
            </w:r>
          </w:p>
        </w:tc>
        <w:tc>
          <w:tcPr>
            <w:tcW w:w="6626" w:type="dxa"/>
          </w:tcPr>
          <w:p w:rsidR="00A42C43" w:rsidRDefault="00C41039">
            <w:pPr>
              <w:spacing w:before="120" w:after="120" w:line="276" w:lineRule="auto"/>
            </w:pPr>
            <w:r>
              <w:rPr>
                <w:rFonts w:cs="Arial"/>
                <w:szCs w:val="20"/>
              </w:rPr>
              <w:t>XXXXXXXXXXXXXX</w:t>
            </w:r>
            <w:bookmarkStart w:id="16" w:name="_GoBack"/>
            <w:bookmarkEnd w:id="16"/>
          </w:p>
        </w:tc>
      </w:tr>
    </w:tbl>
    <w:p w:rsidR="005D16CC" w:rsidRPr="005D16CC" w:rsidRDefault="005D16CC" w:rsidP="005D16CC">
      <w:pPr>
        <w:spacing w:after="120" w:line="276" w:lineRule="auto"/>
        <w:ind w:left="284"/>
        <w:rPr>
          <w:i/>
        </w:rPr>
      </w:pPr>
    </w:p>
    <w:p w:rsidR="00A42C43" w:rsidRDefault="00662C96">
      <w:pPr>
        <w:numPr>
          <w:ilvl w:val="1"/>
          <w:numId w:val="15"/>
        </w:numPr>
        <w:spacing w:after="120" w:line="276" w:lineRule="auto"/>
        <w:ind w:left="284" w:hanging="284"/>
        <w:rPr>
          <w:i/>
        </w:rPr>
      </w:pPr>
      <w:r>
        <w:t>Je-li Pověřených osob určeno více, může každá z nich jednat samostatně, neurčuje-li tato Smlouva v konkrétním případě jinak.</w:t>
      </w:r>
    </w:p>
    <w:p w:rsidR="00A42C43" w:rsidRDefault="00662C96">
      <w:pPr>
        <w:numPr>
          <w:ilvl w:val="1"/>
          <w:numId w:val="15"/>
        </w:numPr>
        <w:spacing w:after="120" w:line="276" w:lineRule="auto"/>
        <w:ind w:left="284" w:hanging="284"/>
      </w:pPr>
      <w:r>
        <w:t>Pokud není změna Pověřených osob Smluvních stran nebo jejich kontaktních údajů provedena dodatkem k této Smlouvě, je každá Smluvní strana povinna bez zbytečného odkladu příslušnou změnu písemně oznámit druhé Smluvní straně, a to:</w:t>
      </w:r>
    </w:p>
    <w:p w:rsidR="00A42C43" w:rsidRDefault="00662C96">
      <w:pPr>
        <w:numPr>
          <w:ilvl w:val="0"/>
          <w:numId w:val="5"/>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e-mailem zaslaným Pověřenou osobou jedné Smluvní strany Pověřené osobě druhé Smluvní strany, ve kterém bude změna oznámena;</w:t>
      </w:r>
    </w:p>
    <w:p w:rsidR="00A42C43" w:rsidRDefault="00662C96">
      <w:pPr>
        <w:numPr>
          <w:ilvl w:val="0"/>
          <w:numId w:val="5"/>
        </w:numPr>
        <w:pBdr>
          <w:top w:val="nil"/>
          <w:left w:val="nil"/>
          <w:bottom w:val="nil"/>
          <w:right w:val="nil"/>
          <w:between w:val="nil"/>
        </w:pBdr>
        <w:spacing w:after="120" w:line="276" w:lineRule="auto"/>
        <w:ind w:left="851" w:hanging="425"/>
        <w:rPr>
          <w:rFonts w:eastAsia="Arial" w:cs="Arial"/>
          <w:color w:val="000000"/>
          <w:szCs w:val="20"/>
        </w:rPr>
      </w:pPr>
      <w:r>
        <w:rPr>
          <w:rFonts w:eastAsia="Arial" w:cs="Arial"/>
          <w:color w:val="000000"/>
          <w:szCs w:val="20"/>
        </w:rPr>
        <w:t xml:space="preserve">oznámením zaslaným druhé Smluvní straně do její datové schránky; </w:t>
      </w:r>
    </w:p>
    <w:p w:rsidR="00A42C43" w:rsidRDefault="00662C96">
      <w:pPr>
        <w:spacing w:after="120" w:line="276" w:lineRule="auto"/>
        <w:ind w:left="425"/>
      </w:pPr>
      <w:r>
        <w:t>změna Pověřené osoby či jejích kontaktních údajů pak je účinná dnem uvedeným v oznámení, nejdříve však okamžikem, kdy je oznámení o změně druhé Smluvní straně řádně doručeno.</w:t>
      </w:r>
    </w:p>
    <w:p w:rsidR="00A42C43" w:rsidRDefault="00662C96">
      <w:pPr>
        <w:numPr>
          <w:ilvl w:val="1"/>
          <w:numId w:val="15"/>
        </w:numPr>
        <w:spacing w:after="120" w:line="276" w:lineRule="auto"/>
        <w:ind w:left="284" w:hanging="284"/>
      </w:pPr>
      <w:r>
        <w:t xml:space="preserve">Poskytovatel není oprávněn bez předchozího písemného souhlasu Objednatele postoupit či převést jakákoli práva či povinnosti vyplývající z této Smlouvy na jakoukoli třetí osobu. </w:t>
      </w:r>
    </w:p>
    <w:p w:rsidR="00A42C43" w:rsidRDefault="00662C96">
      <w:pPr>
        <w:numPr>
          <w:ilvl w:val="1"/>
          <w:numId w:val="15"/>
        </w:numPr>
        <w:spacing w:after="120" w:line="276" w:lineRule="auto"/>
        <w:ind w:left="284" w:hanging="284"/>
      </w:pPr>
      <w:r>
        <w:t xml:space="preserve">Tato Smlouva a vztahy z ní vyplývající se řídí právním řádem České republiky, zejména příslušnými ustanoveními občanského zákoníku. 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rsidR="00A42C43" w:rsidRDefault="00662C96">
      <w:pPr>
        <w:numPr>
          <w:ilvl w:val="1"/>
          <w:numId w:val="15"/>
        </w:numPr>
        <w:spacing w:after="120" w:line="276" w:lineRule="auto"/>
        <w:ind w:left="284" w:hanging="284"/>
      </w:pPr>
      <w: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42C43" w:rsidRDefault="00662C96">
      <w:pPr>
        <w:numPr>
          <w:ilvl w:val="1"/>
          <w:numId w:val="15"/>
        </w:numPr>
        <w:spacing w:after="120" w:line="276" w:lineRule="auto"/>
        <w:ind w:left="284" w:hanging="284"/>
      </w:pPr>
      <w:r>
        <w:t>Nedílnou součástí této Smlouvy jsou její Přílohy:</w:t>
      </w:r>
    </w:p>
    <w:p w:rsidR="00A42C43" w:rsidRDefault="00662C96">
      <w:pPr>
        <w:pBdr>
          <w:top w:val="nil"/>
          <w:left w:val="nil"/>
          <w:bottom w:val="nil"/>
          <w:right w:val="nil"/>
          <w:between w:val="nil"/>
        </w:pBdr>
        <w:spacing w:after="120" w:line="276" w:lineRule="auto"/>
        <w:ind w:left="426"/>
        <w:rPr>
          <w:rFonts w:eastAsia="Arial" w:cs="Arial"/>
          <w:color w:val="000000"/>
          <w:szCs w:val="20"/>
        </w:rPr>
      </w:pPr>
      <w:bookmarkStart w:id="17" w:name="_heading=h.2jxsxqh" w:colFirst="0" w:colLast="0"/>
      <w:bookmarkEnd w:id="17"/>
      <w:r>
        <w:rPr>
          <w:rFonts w:eastAsia="Arial" w:cs="Arial"/>
          <w:color w:val="000000"/>
          <w:szCs w:val="20"/>
        </w:rPr>
        <w:t>Příloha č. 1 – Popis stávajícího stavu</w:t>
      </w:r>
    </w:p>
    <w:p w:rsidR="00A42C43" w:rsidRDefault="00662C96">
      <w:pPr>
        <w:pBdr>
          <w:top w:val="nil"/>
          <w:left w:val="nil"/>
          <w:bottom w:val="nil"/>
          <w:right w:val="nil"/>
          <w:between w:val="nil"/>
        </w:pBdr>
        <w:spacing w:after="120" w:line="276" w:lineRule="auto"/>
        <w:ind w:left="426"/>
        <w:rPr>
          <w:rFonts w:eastAsia="Arial" w:cs="Arial"/>
          <w:color w:val="000000"/>
          <w:szCs w:val="20"/>
        </w:rPr>
      </w:pPr>
      <w:r>
        <w:rPr>
          <w:rFonts w:eastAsia="Arial" w:cs="Arial"/>
          <w:color w:val="000000"/>
          <w:szCs w:val="20"/>
        </w:rPr>
        <w:t xml:space="preserve">Příloha č. 2 – Licenční podmínky výrobce </w:t>
      </w:r>
    </w:p>
    <w:p w:rsidR="00A42C43" w:rsidRDefault="00662C96">
      <w:pPr>
        <w:numPr>
          <w:ilvl w:val="1"/>
          <w:numId w:val="15"/>
        </w:numPr>
        <w:spacing w:after="120" w:line="276" w:lineRule="auto"/>
        <w:ind w:left="284" w:hanging="284"/>
      </w:pPr>
      <w:r>
        <w:t>Pro případ kontradikce se jako závazná použijí prioritně příslušná ustanovení této Smlouvy a následně příslušná ustanovení jednotlivých příloh, a to dle výše uvedeného pořadí.</w:t>
      </w:r>
    </w:p>
    <w:p w:rsidR="00A42C43" w:rsidRDefault="00662C96">
      <w:pPr>
        <w:numPr>
          <w:ilvl w:val="1"/>
          <w:numId w:val="15"/>
        </w:numPr>
        <w:spacing w:after="120" w:line="276" w:lineRule="auto"/>
        <w:ind w:left="284" w:hanging="284"/>
      </w:pPr>
      <w:r>
        <w:t>Tato Smlouva se uzavírá písemně v elektronické podobě. Tato Smlouva je podepsána elektronickým podpisem dle zákona č. 297/2016 Sb., o službách vytvářejících důvěru pro elektronické transakce, ve znění pozdějších předpisů (dále jen „</w:t>
      </w:r>
      <w:r>
        <w:rPr>
          <w:b/>
        </w:rPr>
        <w:t>ZSVD</w:t>
      </w:r>
      <w:r>
        <w:t xml:space="preserve">“). Smluvní strany se dohodly, že Poskytovatel podepíše tuto Smlouvu uznávaným elektronickým podpisem ve smyslu § 6 odst. 2 ZSVD; Objednatel tuto Smlouvu podepíše v souladu s § 5 ZSVD kvalifikovaným elektronickým podpisem. </w:t>
      </w:r>
    </w:p>
    <w:p w:rsidR="00A42C43" w:rsidRDefault="00662C96">
      <w:pPr>
        <w:numPr>
          <w:ilvl w:val="1"/>
          <w:numId w:val="15"/>
        </w:numPr>
        <w:spacing w:after="120" w:line="276" w:lineRule="auto"/>
        <w:ind w:left="284" w:hanging="284"/>
      </w:pPr>
      <w:r>
        <w:t>Smluvní strany si před podpisem tuto Smlouvu řádně přečetly a svůj souhlas s obsahem a autentičností jednotlivých ustanovení této Smlouvy včetně jejích příloh stvrzují svým podpisem.</w:t>
      </w:r>
    </w:p>
    <w:p w:rsidR="00A42C43" w:rsidRDefault="00A42C43">
      <w:pPr>
        <w:spacing w:after="120" w:line="276" w:lineRule="auto"/>
        <w:rPr>
          <w:color w:val="000000"/>
        </w:rPr>
      </w:pPr>
    </w:p>
    <w:p w:rsidR="00A42C43" w:rsidRDefault="00662C96">
      <w:pPr>
        <w:spacing w:after="120" w:line="276" w:lineRule="auto"/>
        <w:rPr>
          <w:color w:val="000000"/>
        </w:rPr>
      </w:pPr>
      <w:r>
        <w:rPr>
          <w:color w:val="000000"/>
        </w:rPr>
        <w:t>Všeobecná zdravotní pojišťovna</w:t>
      </w:r>
      <w:r>
        <w:rPr>
          <w:color w:val="000000"/>
        </w:rPr>
        <w:tab/>
      </w:r>
      <w:r>
        <w:rPr>
          <w:color w:val="000000"/>
        </w:rPr>
        <w:tab/>
      </w:r>
      <w:r>
        <w:rPr>
          <w:color w:val="000000"/>
        </w:rPr>
        <w:tab/>
      </w:r>
      <w:r>
        <w:rPr>
          <w:color w:val="000000"/>
        </w:rPr>
        <w:tab/>
      </w:r>
      <w:r w:rsidR="005D16CC">
        <w:rPr>
          <w:color w:val="000000"/>
        </w:rPr>
        <w:tab/>
      </w:r>
      <w:r>
        <w:rPr>
          <w:color w:val="000000"/>
        </w:rPr>
        <w:t>SG Solutions, s.r.o.</w:t>
      </w:r>
    </w:p>
    <w:p w:rsidR="00A42C43" w:rsidRDefault="00662C96">
      <w:pPr>
        <w:spacing w:after="120" w:line="276" w:lineRule="auto"/>
        <w:rPr>
          <w:color w:val="000000"/>
        </w:rPr>
      </w:pPr>
      <w:r>
        <w:rPr>
          <w:color w:val="000000"/>
        </w:rPr>
        <w:t>České republiky</w:t>
      </w:r>
    </w:p>
    <w:p w:rsidR="00A42C43" w:rsidRDefault="00A42C43">
      <w:pPr>
        <w:spacing w:after="120" w:line="276" w:lineRule="auto"/>
        <w:rPr>
          <w:color w:val="000000"/>
        </w:rPr>
      </w:pPr>
      <w:bookmarkStart w:id="18" w:name="_heading=h.z337ya" w:colFirst="0" w:colLast="0"/>
      <w:bookmarkEnd w:id="18"/>
    </w:p>
    <w:p w:rsidR="00A42C43" w:rsidRDefault="00A42C43">
      <w:pPr>
        <w:spacing w:after="120" w:line="276" w:lineRule="auto"/>
        <w:rPr>
          <w:color w:val="000000"/>
        </w:rPr>
      </w:pPr>
    </w:p>
    <w:p w:rsidR="00A42C43" w:rsidRDefault="00662C96">
      <w:pPr>
        <w:spacing w:after="120" w:line="276" w:lineRule="auto"/>
        <w:rPr>
          <w:color w:val="000000"/>
        </w:rPr>
      </w:pPr>
      <w:r>
        <w:rPr>
          <w:color w:val="000000"/>
        </w:rPr>
        <w:t>Ing. Zdeněk Kabátek</w:t>
      </w:r>
      <w:r>
        <w:rPr>
          <w:color w:val="000000"/>
        </w:rPr>
        <w:tab/>
      </w:r>
      <w:r>
        <w:rPr>
          <w:color w:val="000000"/>
        </w:rPr>
        <w:tab/>
      </w:r>
      <w:r>
        <w:rPr>
          <w:color w:val="000000"/>
        </w:rPr>
        <w:tab/>
      </w:r>
      <w:r>
        <w:rPr>
          <w:color w:val="000000"/>
        </w:rPr>
        <w:tab/>
      </w:r>
      <w:r>
        <w:rPr>
          <w:color w:val="000000"/>
        </w:rPr>
        <w:tab/>
      </w:r>
      <w:r>
        <w:rPr>
          <w:color w:val="000000"/>
        </w:rPr>
        <w:tab/>
        <w:t>Ing. Jindřich Kasal</w:t>
      </w:r>
    </w:p>
    <w:p w:rsidR="00A42C43" w:rsidRDefault="00662C96">
      <w:pPr>
        <w:spacing w:after="120" w:line="276" w:lineRule="auto"/>
        <w:rPr>
          <w:color w:val="000000"/>
        </w:rPr>
      </w:pPr>
      <w:r>
        <w:rPr>
          <w:color w:val="000000"/>
        </w:rPr>
        <w:t>ředitel VZP ČR</w:t>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w:t>
      </w:r>
    </w:p>
    <w:p w:rsidR="00A42C43" w:rsidRDefault="00662C96">
      <w:pPr>
        <w:spacing w:after="120" w:line="276" w:lineRule="auto"/>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r>
        <w:rPr>
          <w:color w:val="000000"/>
        </w:rPr>
        <w:t xml:space="preserve"> </w:t>
      </w:r>
      <w:r>
        <w:br w:type="page"/>
      </w:r>
    </w:p>
    <w:p w:rsidR="00A42C43" w:rsidRDefault="00A42C43">
      <w:pPr>
        <w:spacing w:after="120" w:line="276" w:lineRule="auto"/>
        <w:rPr>
          <w:color w:val="000000"/>
        </w:rPr>
      </w:pPr>
    </w:p>
    <w:p w:rsidR="00A42C43" w:rsidRDefault="00662C96">
      <w:pPr>
        <w:pBdr>
          <w:top w:val="single" w:sz="4" w:space="2" w:color="000000"/>
          <w:left w:val="single" w:sz="4" w:space="4" w:color="000000"/>
          <w:bottom w:val="single" w:sz="4" w:space="2" w:color="000000"/>
          <w:right w:val="single" w:sz="4" w:space="4" w:color="000000"/>
        </w:pBdr>
        <w:shd w:val="clear" w:color="auto" w:fill="D9D9D9"/>
        <w:jc w:val="left"/>
        <w:rPr>
          <w:b/>
          <w:sz w:val="24"/>
        </w:rPr>
      </w:pPr>
      <w:r>
        <w:rPr>
          <w:b/>
          <w:smallCaps/>
        </w:rPr>
        <w:t xml:space="preserve">PŘÍLOHA Č. 1 – POPIS STÁVAJÍCÍHO STAVU </w:t>
      </w:r>
    </w:p>
    <w:p w:rsidR="00A42C43" w:rsidRDefault="00A42C43">
      <w:pPr>
        <w:pBdr>
          <w:top w:val="nil"/>
          <w:left w:val="nil"/>
          <w:bottom w:val="nil"/>
          <w:right w:val="nil"/>
          <w:between w:val="nil"/>
        </w:pBdr>
        <w:spacing w:after="120" w:line="276" w:lineRule="auto"/>
        <w:ind w:left="786"/>
        <w:rPr>
          <w:rFonts w:eastAsia="Arial" w:cs="Arial"/>
          <w:color w:val="000000"/>
          <w:sz w:val="28"/>
          <w:szCs w:val="28"/>
        </w:rPr>
      </w:pPr>
    </w:p>
    <w:p w:rsidR="00A42C43" w:rsidRDefault="00662C96">
      <w:pPr>
        <w:rPr>
          <w:rFonts w:ascii="Calibri" w:eastAsia="Calibri" w:hAnsi="Calibri" w:cs="Calibri"/>
        </w:rPr>
      </w:pPr>
      <w:r>
        <w:t>1. Software</w:t>
      </w:r>
    </w:p>
    <w:p w:rsidR="00A42C43" w:rsidRDefault="00A42C43"/>
    <w:p w:rsidR="00A42C43" w:rsidRDefault="00662C96">
      <w:r>
        <w:t>1.1 IBM SPSS Modeler Professional verze 18.4</w:t>
      </w:r>
    </w:p>
    <w:p w:rsidR="00A42C43" w:rsidRDefault="00662C96">
      <w:r>
        <w:t>1.2 Sentinel RMS License Manager verze 9.6</w:t>
      </w:r>
    </w:p>
    <w:p w:rsidR="00A42C43" w:rsidRDefault="00662C96">
      <w:r>
        <w:t>1.3 Java JRE verze 11.0.13</w:t>
      </w:r>
    </w:p>
    <w:p w:rsidR="00A42C43" w:rsidRDefault="00A42C43"/>
    <w:p w:rsidR="00A42C43" w:rsidRDefault="00662C96">
      <w:r>
        <w:t>2. Infrastruktura</w:t>
      </w:r>
    </w:p>
    <w:p w:rsidR="00A42C43" w:rsidRDefault="00A42C43"/>
    <w:p w:rsidR="00A42C43" w:rsidRDefault="00662C96">
      <w:r>
        <w:t>2.1 Aplikační vrstva</w:t>
      </w:r>
    </w:p>
    <w:p w:rsidR="00A42C43" w:rsidRDefault="00662C96">
      <w:r>
        <w:t>2.1.1 Servery: 1x virtuální server (8 jader, 32GB RAM)</w:t>
      </w:r>
    </w:p>
    <w:p w:rsidR="00A42C43" w:rsidRDefault="00662C96">
      <w:r>
        <w:t>2.1.2 Virtualizace: VMware</w:t>
      </w:r>
    </w:p>
    <w:p w:rsidR="00A42C43" w:rsidRDefault="00662C96">
      <w:r>
        <w:t>2.1.3 HW Architektura: x86</w:t>
      </w:r>
    </w:p>
    <w:p w:rsidR="00A42C43" w:rsidRDefault="00662C96">
      <w:r>
        <w:t>2.1.4 HA řešení: Vmware</w:t>
      </w:r>
    </w:p>
    <w:p w:rsidR="00A42C43" w:rsidRDefault="00662C96">
      <w:r>
        <w:t>2.1.5 Diskové prostory: 500GB</w:t>
      </w:r>
    </w:p>
    <w:p w:rsidR="00A42C43" w:rsidRDefault="00662C96">
      <w:r>
        <w:t>2.1.6 Operační systém: Windows Server 2016</w:t>
      </w:r>
    </w:p>
    <w:p w:rsidR="00A42C43" w:rsidRDefault="00A42C43"/>
    <w:p w:rsidR="00A42C43" w:rsidRDefault="00662C96">
      <w:r>
        <w:t>2.2 Databáze</w:t>
      </w:r>
    </w:p>
    <w:p w:rsidR="00A42C43" w:rsidRDefault="00662C96">
      <w:pPr>
        <w:ind w:firstLine="708"/>
      </w:pPr>
      <w:r>
        <w:t>Oracle DB 12.1</w:t>
      </w:r>
    </w:p>
    <w:p w:rsidR="00A42C43" w:rsidRDefault="00A42C43">
      <w:pPr>
        <w:pBdr>
          <w:top w:val="nil"/>
          <w:left w:val="nil"/>
          <w:bottom w:val="nil"/>
          <w:right w:val="nil"/>
          <w:between w:val="nil"/>
        </w:pBdr>
        <w:spacing w:line="276" w:lineRule="auto"/>
        <w:rPr>
          <w:b/>
          <w:sz w:val="24"/>
        </w:rPr>
      </w:pPr>
    </w:p>
    <w:p w:rsidR="00A42C43" w:rsidRDefault="00A42C43">
      <w:pPr>
        <w:pBdr>
          <w:top w:val="nil"/>
          <w:left w:val="nil"/>
          <w:bottom w:val="nil"/>
          <w:right w:val="nil"/>
          <w:between w:val="nil"/>
        </w:pBdr>
        <w:spacing w:line="276" w:lineRule="auto"/>
        <w:rPr>
          <w:b/>
          <w:sz w:val="24"/>
        </w:rPr>
      </w:pPr>
    </w:p>
    <w:p w:rsidR="00A42C43" w:rsidRDefault="00662C96">
      <w:pPr>
        <w:pBdr>
          <w:top w:val="single" w:sz="4" w:space="2" w:color="000000"/>
          <w:left w:val="single" w:sz="4" w:space="4" w:color="000000"/>
          <w:bottom w:val="single" w:sz="4" w:space="2" w:color="000000"/>
          <w:right w:val="single" w:sz="4" w:space="4" w:color="000000"/>
        </w:pBdr>
        <w:shd w:val="clear" w:color="auto" w:fill="D9D9D9"/>
        <w:jc w:val="left"/>
        <w:rPr>
          <w:b/>
          <w:sz w:val="24"/>
        </w:rPr>
      </w:pPr>
      <w:r>
        <w:rPr>
          <w:b/>
          <w:smallCaps/>
        </w:rPr>
        <w:t>PŘÍLOHA Č. 2 – LICENČNÍ PODMÍNKY VÝROBCE</w:t>
      </w:r>
    </w:p>
    <w:p w:rsidR="00A42C43" w:rsidRDefault="00A42C43">
      <w:pPr>
        <w:rPr>
          <w:sz w:val="24"/>
        </w:rPr>
      </w:pPr>
    </w:p>
    <w:p w:rsidR="00A42C43" w:rsidRDefault="00A42C43">
      <w:pPr>
        <w:rPr>
          <w:sz w:val="24"/>
        </w:rPr>
      </w:pPr>
    </w:p>
    <w:p w:rsidR="00A42C43" w:rsidRDefault="00995AA8">
      <w:pPr>
        <w:rPr>
          <w:sz w:val="24"/>
        </w:rPr>
      </w:pPr>
      <w:r>
        <w:rPr>
          <w:sz w:val="24"/>
        </w:rPr>
        <w:t>Licenční podmínky výrobce</w:t>
      </w:r>
      <w:r w:rsidR="005D16CC">
        <w:rPr>
          <w:sz w:val="24"/>
        </w:rPr>
        <w:t xml:space="preserve"> tvoří samostatnou přílohu Smlouvy.</w:t>
      </w:r>
    </w:p>
    <w:p w:rsidR="005D16CC" w:rsidRDefault="005D16CC">
      <w:pPr>
        <w:rPr>
          <w:sz w:val="24"/>
        </w:rPr>
      </w:pPr>
    </w:p>
    <w:p w:rsidR="005D16CC" w:rsidRDefault="005D16CC">
      <w:pPr>
        <w:rPr>
          <w:sz w:val="24"/>
        </w:rPr>
      </w:pPr>
    </w:p>
    <w:sectPr w:rsidR="005D16CC">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100" w:rsidRDefault="00777100">
      <w:r>
        <w:separator/>
      </w:r>
    </w:p>
  </w:endnote>
  <w:endnote w:type="continuationSeparator" w:id="0">
    <w:p w:rsidR="00777100" w:rsidRDefault="0077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C43" w:rsidRDefault="00662C96">
    <w:pPr>
      <w:pBdr>
        <w:top w:val="nil"/>
        <w:left w:val="nil"/>
        <w:bottom w:val="nil"/>
        <w:right w:val="nil"/>
        <w:between w:val="nil"/>
      </w:pBdr>
      <w:tabs>
        <w:tab w:val="center" w:pos="4536"/>
        <w:tab w:val="right" w:pos="9072"/>
      </w:tabs>
      <w:jc w:val="right"/>
      <w:rPr>
        <w:rFonts w:eastAsia="Arial" w:cs="Arial"/>
        <w:color w:val="000000"/>
        <w:sz w:val="16"/>
        <w:szCs w:val="16"/>
      </w:rPr>
    </w:pPr>
    <w:r>
      <w:rPr>
        <w:rFonts w:eastAsia="Arial" w:cs="Arial"/>
        <w:color w:val="000000"/>
        <w:sz w:val="16"/>
        <w:szCs w:val="16"/>
      </w:rPr>
      <w:fldChar w:fldCharType="begin"/>
    </w:r>
    <w:r>
      <w:rPr>
        <w:rFonts w:eastAsia="Arial" w:cs="Arial"/>
        <w:color w:val="000000"/>
        <w:sz w:val="16"/>
        <w:szCs w:val="16"/>
      </w:rPr>
      <w:instrText>PAGE</w:instrText>
    </w:r>
    <w:r>
      <w:rPr>
        <w:rFonts w:eastAsia="Arial" w:cs="Arial"/>
        <w:color w:val="000000"/>
        <w:sz w:val="16"/>
        <w:szCs w:val="16"/>
      </w:rPr>
      <w:fldChar w:fldCharType="separate"/>
    </w:r>
    <w:r w:rsidR="005D16CC">
      <w:rPr>
        <w:rFonts w:eastAsia="Arial" w:cs="Arial"/>
        <w:noProof/>
        <w:color w:val="000000"/>
        <w:sz w:val="16"/>
        <w:szCs w:val="16"/>
      </w:rPr>
      <w:t>1</w:t>
    </w:r>
    <w:r>
      <w:rPr>
        <w:rFonts w:eastAsia="Arial" w:cs="Arial"/>
        <w:color w:val="000000"/>
        <w:sz w:val="16"/>
        <w:szCs w:val="16"/>
      </w:rPr>
      <w:fldChar w:fldCharType="end"/>
    </w:r>
  </w:p>
  <w:p w:rsidR="00A42C43" w:rsidRDefault="00A42C43">
    <w:pPr>
      <w:pBdr>
        <w:top w:val="nil"/>
        <w:left w:val="nil"/>
        <w:bottom w:val="nil"/>
        <w:right w:val="nil"/>
        <w:between w:val="nil"/>
      </w:pBdr>
      <w:tabs>
        <w:tab w:val="center" w:pos="4536"/>
        <w:tab w:val="right" w:pos="9072"/>
      </w:tabs>
      <w:rPr>
        <w:rFonts w:eastAsia="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100" w:rsidRDefault="00777100">
      <w:r>
        <w:separator/>
      </w:r>
    </w:p>
  </w:footnote>
  <w:footnote w:type="continuationSeparator" w:id="0">
    <w:p w:rsidR="00777100" w:rsidRDefault="0077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1826"/>
    <w:multiLevelType w:val="multilevel"/>
    <w:tmpl w:val="2F7274EC"/>
    <w:lvl w:ilvl="0">
      <w:start w:val="1"/>
      <w:numFmt w:val="lowerLetter"/>
      <w:pStyle w:val="Pr1Level1"/>
      <w:lvlText w:val="%1)"/>
      <w:lvlJc w:val="left"/>
      <w:pPr>
        <w:ind w:left="1077" w:hanging="360"/>
      </w:pPr>
    </w:lvl>
    <w:lvl w:ilvl="1">
      <w:start w:val="1"/>
      <w:numFmt w:val="lowerLetter"/>
      <w:pStyle w:val="Pr1Level11"/>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152139FD"/>
    <w:multiLevelType w:val="multilevel"/>
    <w:tmpl w:val="ABB86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91631"/>
    <w:multiLevelType w:val="multilevel"/>
    <w:tmpl w:val="87427598"/>
    <w:lvl w:ilvl="0">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36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F2076B"/>
    <w:multiLevelType w:val="multilevel"/>
    <w:tmpl w:val="9F8E86B4"/>
    <w:lvl w:ilvl="0">
      <w:start w:val="1"/>
      <w:numFmt w:val="decimal"/>
      <w:pStyle w:val="Popisek-tabulka"/>
      <w:lvlText w:val="%1."/>
      <w:lvlJc w:val="left"/>
      <w:pPr>
        <w:tabs>
          <w:tab w:val="num" w:pos="720"/>
        </w:tabs>
        <w:ind w:left="720" w:hanging="720"/>
      </w:pPr>
    </w:lvl>
    <w:lvl w:ilvl="1">
      <w:start w:val="1"/>
      <w:numFmt w:val="decimal"/>
      <w:pStyle w:val="Nzev2"/>
      <w:lvlText w:val="%2."/>
      <w:lvlJc w:val="left"/>
      <w:pPr>
        <w:tabs>
          <w:tab w:val="num" w:pos="1440"/>
        </w:tabs>
        <w:ind w:left="1440" w:hanging="720"/>
      </w:pPr>
    </w:lvl>
    <w:lvl w:ilvl="2">
      <w:start w:val="1"/>
      <w:numFmt w:val="decimal"/>
      <w:pStyle w:val="SSBod"/>
      <w:lvlText w:val="%3."/>
      <w:lvlJc w:val="left"/>
      <w:pPr>
        <w:tabs>
          <w:tab w:val="num" w:pos="2160"/>
        </w:tabs>
        <w:ind w:left="2160" w:hanging="720"/>
      </w:pPr>
    </w:lvl>
    <w:lvl w:ilvl="3">
      <w:start w:val="1"/>
      <w:numFmt w:val="decimal"/>
      <w:pStyle w:val="SSPsmeno"/>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7F54F0"/>
    <w:multiLevelType w:val="multilevel"/>
    <w:tmpl w:val="6E02C258"/>
    <w:lvl w:ilvl="0">
      <w:start w:val="1"/>
      <w:numFmt w:val="decimal"/>
      <w:pStyle w:val="Slnek"/>
      <w:lvlText w:val="%1."/>
      <w:lvlJc w:val="left"/>
      <w:pPr>
        <w:ind w:left="360" w:hanging="360"/>
      </w:pPr>
    </w:lvl>
    <w:lvl w:ilvl="1">
      <w:start w:val="1"/>
      <w:numFmt w:val="lowerLetter"/>
      <w:pStyle w:val="SOdstavec"/>
      <w:lvlText w:val="%2)"/>
      <w:lvlJc w:val="left"/>
      <w:pPr>
        <w:ind w:left="1440" w:hanging="360"/>
      </w:pPr>
      <w:rPr>
        <w:rFonts w:ascii="Arial" w:eastAsia="Arial" w:hAnsi="Arial" w:cs="Arial"/>
      </w:rPr>
    </w:lvl>
    <w:lvl w:ilvl="2">
      <w:start w:val="1"/>
      <w:numFmt w:val="lowerRoman"/>
      <w:pStyle w:val="SBod"/>
      <w:lvlText w:val="%3."/>
      <w:lvlJc w:val="right"/>
      <w:pPr>
        <w:ind w:left="2160" w:hanging="180"/>
      </w:pPr>
    </w:lvl>
    <w:lvl w:ilvl="3">
      <w:start w:val="1"/>
      <w:numFmt w:val="decimal"/>
      <w:pStyle w:val="SPsmeno"/>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DC6CCE"/>
    <w:multiLevelType w:val="multilevel"/>
    <w:tmpl w:val="D242EBAC"/>
    <w:lvl w:ilvl="0">
      <w:start w:val="1"/>
      <w:numFmt w:val="decimal"/>
      <w:lvlText w:val="%1."/>
      <w:lvlJc w:val="left"/>
      <w:pPr>
        <w:ind w:left="360" w:hanging="360"/>
      </w:pPr>
      <w:rPr>
        <w:b w:val="0"/>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E7EC1"/>
    <w:multiLevelType w:val="multilevel"/>
    <w:tmpl w:val="24FC2D4E"/>
    <w:lvl w:ilvl="0">
      <w:start w:val="1"/>
      <w:numFmt w:val="lowerLetter"/>
      <w:pStyle w:val="SBSSmlouv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DB2FE5"/>
    <w:multiLevelType w:val="multilevel"/>
    <w:tmpl w:val="37DC544E"/>
    <w:lvl w:ilvl="0">
      <w:start w:val="1"/>
      <w:numFmt w:val="decimal"/>
      <w:pStyle w:val="Seznamsodrkami4"/>
      <w:lvlText w:val="%1."/>
      <w:lvlJc w:val="left"/>
      <w:pPr>
        <w:ind w:left="3621"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662FAD"/>
    <w:multiLevelType w:val="multilevel"/>
    <w:tmpl w:val="809EC53A"/>
    <w:lvl w:ilvl="0">
      <w:start w:val="1"/>
      <w:numFmt w:val="decimal"/>
      <w:lvlText w:val="%1."/>
      <w:lvlJc w:val="left"/>
      <w:pPr>
        <w:ind w:left="283" w:hanging="283"/>
      </w:pPr>
      <w:rPr>
        <w:b w:val="0"/>
        <w:i w:val="0"/>
      </w:r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A860A9"/>
    <w:multiLevelType w:val="multilevel"/>
    <w:tmpl w:val="040ED8EA"/>
    <w:lvl w:ilvl="0">
      <w:start w:val="1"/>
      <w:numFmt w:val="lowerLetter"/>
      <w:pStyle w:val="Seznamsodrkami2"/>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4E403367"/>
    <w:multiLevelType w:val="multilevel"/>
    <w:tmpl w:val="5100E1F2"/>
    <w:lvl w:ilvl="0">
      <w:start w:val="1"/>
      <w:numFmt w:val="decimal"/>
      <w:lvlText w:val="%1."/>
      <w:lvlJc w:val="left"/>
      <w:pPr>
        <w:ind w:left="660" w:hanging="300"/>
      </w:pPr>
      <w:rPr>
        <w:color w:val="000000"/>
        <w:sz w:val="20"/>
        <w:szCs w:val="20"/>
        <w:u w:val="none"/>
        <w:vertAlign w:val="baseline"/>
      </w:rPr>
    </w:lvl>
    <w:lvl w:ilvl="1">
      <w:start w:val="1"/>
      <w:numFmt w:val="lowerLetter"/>
      <w:lvlText w:val="%2."/>
      <w:lvlJc w:val="left"/>
      <w:pPr>
        <w:ind w:left="1380" w:hanging="300"/>
      </w:pPr>
      <w:rPr>
        <w:color w:val="000000"/>
        <w:sz w:val="20"/>
        <w:szCs w:val="20"/>
        <w:u w:val="none"/>
        <w:vertAlign w:val="baseline"/>
      </w:rPr>
    </w:lvl>
    <w:lvl w:ilvl="2">
      <w:start w:val="1"/>
      <w:numFmt w:val="lowerRoman"/>
      <w:lvlText w:val="%3."/>
      <w:lvlJc w:val="left"/>
      <w:pPr>
        <w:ind w:left="1701" w:hanging="818"/>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11" w15:restartNumberingAfterBreak="0">
    <w:nsid w:val="57470E75"/>
    <w:multiLevelType w:val="multilevel"/>
    <w:tmpl w:val="B08ED162"/>
    <w:lvl w:ilvl="0">
      <w:start w:val="1"/>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585F79AA"/>
    <w:multiLevelType w:val="multilevel"/>
    <w:tmpl w:val="5F3AA46E"/>
    <w:lvl w:ilvl="0">
      <w:start w:val="1"/>
      <w:numFmt w:val="decimal"/>
      <w:lvlText w:val="%1."/>
      <w:lvlJc w:val="left"/>
      <w:pPr>
        <w:ind w:left="360" w:hanging="360"/>
      </w:pPr>
      <w:rPr>
        <w:b w:val="0"/>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5DE44276"/>
    <w:multiLevelType w:val="multilevel"/>
    <w:tmpl w:val="F936392E"/>
    <w:lvl w:ilvl="0">
      <w:start w:val="1"/>
      <w:numFmt w:val="decimal"/>
      <w:lvlText w:val="%1."/>
      <w:lvlJc w:val="left"/>
      <w:pPr>
        <w:ind w:left="360" w:hanging="360"/>
      </w:pPr>
      <w:rPr>
        <w:sz w:val="20"/>
        <w:szCs w:val="20"/>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62761B16"/>
    <w:multiLevelType w:val="multilevel"/>
    <w:tmpl w:val="9E2EC43E"/>
    <w:lvl w:ilvl="0">
      <w:start w:val="1"/>
      <w:numFmt w:val="decimal"/>
      <w:lvlText w:val="%1."/>
      <w:lvlJc w:val="left"/>
      <w:pPr>
        <w:ind w:left="567" w:hanging="567"/>
      </w:pPr>
      <w:rPr>
        <w:b w:val="0"/>
        <w:color w:val="000000"/>
        <w:sz w:val="20"/>
        <w:szCs w:val="20"/>
        <w:u w:val="none"/>
        <w:vertAlign w:val="baseline"/>
      </w:rPr>
    </w:lvl>
    <w:lvl w:ilvl="1">
      <w:start w:val="1"/>
      <w:numFmt w:val="decimal"/>
      <w:lvlText w:val="%1.%2."/>
      <w:lvlJc w:val="left"/>
      <w:pPr>
        <w:ind w:left="1000" w:hanging="300"/>
      </w:pPr>
      <w:rPr>
        <w:color w:val="000000"/>
        <w:sz w:val="20"/>
        <w:szCs w:val="20"/>
        <w:u w:val="none"/>
        <w:vertAlign w:val="baseline"/>
      </w:rPr>
    </w:lvl>
    <w:lvl w:ilvl="2">
      <w:start w:val="1"/>
      <w:numFmt w:val="decimal"/>
      <w:lvlText w:val="%1.%2.%3."/>
      <w:lvlJc w:val="left"/>
      <w:pPr>
        <w:ind w:left="2000" w:hanging="600"/>
      </w:pPr>
      <w:rPr>
        <w:color w:val="000000"/>
        <w:sz w:val="20"/>
        <w:szCs w:val="20"/>
        <w:u w:val="none"/>
        <w:vertAlign w:val="baseline"/>
      </w:rPr>
    </w:lvl>
    <w:lvl w:ilvl="3">
      <w:start w:val="1"/>
      <w:numFmt w:val="decimal"/>
      <w:lvlText w:val="%1.%2.%3.%4."/>
      <w:lvlJc w:val="left"/>
      <w:pPr>
        <w:ind w:left="2720" w:hanging="600"/>
      </w:pPr>
      <w:rPr>
        <w:color w:val="000000"/>
        <w:sz w:val="20"/>
        <w:szCs w:val="20"/>
        <w:u w:val="none"/>
        <w:vertAlign w:val="baseline"/>
      </w:rPr>
    </w:lvl>
    <w:lvl w:ilvl="4">
      <w:start w:val="1"/>
      <w:numFmt w:val="decimal"/>
      <w:lvlText w:val="%1.%2.%3.%4.%5."/>
      <w:lvlJc w:val="left"/>
      <w:pPr>
        <w:ind w:left="3420" w:hanging="600"/>
      </w:pPr>
      <w:rPr>
        <w:color w:val="000000"/>
        <w:sz w:val="20"/>
        <w:szCs w:val="20"/>
        <w:u w:val="none"/>
        <w:vertAlign w:val="baseline"/>
      </w:rPr>
    </w:lvl>
    <w:lvl w:ilvl="5">
      <w:start w:val="1"/>
      <w:numFmt w:val="decimal"/>
      <w:lvlText w:val="%1.%2.%3.%4.%5.%6."/>
      <w:lvlJc w:val="left"/>
      <w:pPr>
        <w:ind w:left="4440" w:hanging="900"/>
      </w:pPr>
      <w:rPr>
        <w:color w:val="000000"/>
        <w:sz w:val="20"/>
        <w:szCs w:val="20"/>
        <w:u w:val="none"/>
        <w:vertAlign w:val="baseline"/>
      </w:rPr>
    </w:lvl>
    <w:lvl w:ilvl="6">
      <w:start w:val="1"/>
      <w:numFmt w:val="decimal"/>
      <w:lvlText w:val="%1.%2.%3.%4.%5.%6.%7."/>
      <w:lvlJc w:val="left"/>
      <w:pPr>
        <w:ind w:left="5140" w:hanging="900"/>
      </w:pPr>
      <w:rPr>
        <w:color w:val="000000"/>
        <w:sz w:val="20"/>
        <w:szCs w:val="20"/>
        <w:u w:val="none"/>
        <w:vertAlign w:val="baseline"/>
      </w:rPr>
    </w:lvl>
    <w:lvl w:ilvl="7">
      <w:start w:val="1"/>
      <w:numFmt w:val="decimal"/>
      <w:lvlText w:val="%1.%2.%3.%4.%5.%6.%7.%8."/>
      <w:lvlJc w:val="left"/>
      <w:pPr>
        <w:ind w:left="6140" w:hanging="1200"/>
      </w:pPr>
      <w:rPr>
        <w:color w:val="000000"/>
        <w:sz w:val="20"/>
        <w:szCs w:val="20"/>
        <w:u w:val="none"/>
        <w:vertAlign w:val="baseline"/>
      </w:rPr>
    </w:lvl>
    <w:lvl w:ilvl="8">
      <w:start w:val="1"/>
      <w:numFmt w:val="decimal"/>
      <w:lvlText w:val="%1.%2.%3.%4.%5.%6.%7.%8.%9."/>
      <w:lvlJc w:val="left"/>
      <w:pPr>
        <w:ind w:left="6860" w:hanging="1200"/>
      </w:pPr>
      <w:rPr>
        <w:color w:val="000000"/>
        <w:sz w:val="20"/>
        <w:szCs w:val="20"/>
        <w:u w:val="none"/>
        <w:vertAlign w:val="baseline"/>
      </w:rPr>
    </w:lvl>
  </w:abstractNum>
  <w:abstractNum w:abstractNumId="15" w15:restartNumberingAfterBreak="0">
    <w:nsid w:val="696F02DF"/>
    <w:multiLevelType w:val="multilevel"/>
    <w:tmpl w:val="A25AC93C"/>
    <w:lvl w:ilvl="0">
      <w:start w:val="1"/>
      <w:numFmt w:val="decimal"/>
      <w:lvlText w:val="%1."/>
      <w:lvlJc w:val="left"/>
      <w:pPr>
        <w:ind w:left="644" w:hanging="359"/>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880172"/>
    <w:multiLevelType w:val="multilevel"/>
    <w:tmpl w:val="4A9A5A60"/>
    <w:lvl w:ilvl="0">
      <w:start w:val="4"/>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5DC4F15"/>
    <w:multiLevelType w:val="multilevel"/>
    <w:tmpl w:val="59EE9758"/>
    <w:lvl w:ilvl="0">
      <w:start w:val="1"/>
      <w:numFmt w:val="decimal"/>
      <w:pStyle w:val="RLlneksmlouvy"/>
      <w:lvlText w:val="%1."/>
      <w:lvlJc w:val="left"/>
      <w:pPr>
        <w:ind w:left="360" w:hanging="360"/>
      </w:pPr>
      <w:rPr>
        <w:b w:val="0"/>
        <w:color w:val="000000"/>
      </w:rPr>
    </w:lvl>
    <w:lvl w:ilvl="1">
      <w:start w:val="1"/>
      <w:numFmt w:val="lowerLetter"/>
      <w:pStyle w:val="RLTextlnkuslovan"/>
      <w:lvlText w:val="%2)"/>
      <w:lvlJc w:val="left"/>
      <w:pPr>
        <w:ind w:left="1425" w:hanging="705"/>
      </w:pPr>
      <w:rPr>
        <w:b w:val="0"/>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11"/>
  </w:num>
  <w:num w:numId="4">
    <w:abstractNumId w:val="4"/>
  </w:num>
  <w:num w:numId="5">
    <w:abstractNumId w:val="0"/>
  </w:num>
  <w:num w:numId="6">
    <w:abstractNumId w:val="17"/>
  </w:num>
  <w:num w:numId="7">
    <w:abstractNumId w:val="10"/>
  </w:num>
  <w:num w:numId="8">
    <w:abstractNumId w:val="13"/>
  </w:num>
  <w:num w:numId="9">
    <w:abstractNumId w:val="1"/>
  </w:num>
  <w:num w:numId="10">
    <w:abstractNumId w:val="12"/>
  </w:num>
  <w:num w:numId="11">
    <w:abstractNumId w:val="8"/>
  </w:num>
  <w:num w:numId="12">
    <w:abstractNumId w:val="15"/>
  </w:num>
  <w:num w:numId="13">
    <w:abstractNumId w:val="7"/>
  </w:num>
  <w:num w:numId="14">
    <w:abstractNumId w:val="14"/>
  </w:num>
  <w:num w:numId="15">
    <w:abstractNumId w:val="2"/>
  </w:num>
  <w:num w:numId="16">
    <w:abstractNumId w:val="16"/>
  </w:num>
  <w:num w:numId="17">
    <w:abstractNumId w:val="9"/>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43"/>
    <w:rsid w:val="005D16CC"/>
    <w:rsid w:val="00662C96"/>
    <w:rsid w:val="00777100"/>
    <w:rsid w:val="00817DEE"/>
    <w:rsid w:val="00995AA8"/>
    <w:rsid w:val="00A42C43"/>
    <w:rsid w:val="00B95B03"/>
    <w:rsid w:val="00BB0844"/>
    <w:rsid w:val="00C41039"/>
    <w:rsid w:val="00FA1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8179"/>
  <w15:docId w15:val="{285FBA4F-6668-4ADF-8236-6F6E1E0E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cs-CZ" w:eastAsia="cs-CZ"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7CC9"/>
    <w:pPr>
      <w:autoSpaceDN w:val="0"/>
      <w:textAlignment w:val="baseline"/>
    </w:pPr>
    <w:rPr>
      <w:rFonts w:eastAsia="Times New Roman" w:cs="Times New Roman"/>
      <w:szCs w:val="24"/>
    </w:rPr>
  </w:style>
  <w:style w:type="paragraph" w:styleId="Nadpis1">
    <w:name w:val="heading 1"/>
    <w:next w:val="Normln"/>
    <w:link w:val="Nadpis1Char"/>
    <w:uiPriority w:val="9"/>
    <w:qFormat/>
    <w:rsid w:val="005C696E"/>
    <w:pPr>
      <w:keepNext/>
      <w:pBdr>
        <w:top w:val="nil"/>
        <w:left w:val="nil"/>
        <w:bottom w:val="nil"/>
        <w:right w:val="nil"/>
        <w:between w:val="nil"/>
        <w:bar w:val="nil"/>
      </w:pBdr>
      <w:outlineLvl w:val="0"/>
    </w:pPr>
    <w:rPr>
      <w:rFonts w:ascii="Courier New" w:eastAsia="Courier New" w:hAnsi="Courier New" w:cs="Courier New"/>
      <w:b/>
      <w:bCs/>
      <w:color w:val="000000"/>
      <w:sz w:val="16"/>
      <w:szCs w:val="16"/>
      <w:u w:val="single" w:color="000000"/>
      <w:bdr w:val="nil"/>
    </w:rPr>
  </w:style>
  <w:style w:type="paragraph" w:styleId="Nadpis2">
    <w:name w:val="heading 2"/>
    <w:basedOn w:val="Normln"/>
    <w:next w:val="Normln"/>
    <w:link w:val="Nadpis2Char"/>
    <w:uiPriority w:val="9"/>
    <w:semiHidden/>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uiPriority w:val="9"/>
    <w:semiHidden/>
    <w:unhideWhenUsed/>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uiPriority w:val="9"/>
    <w:semiHidden/>
    <w:unhideWhenUsed/>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uiPriority w:val="9"/>
    <w:semiHidden/>
    <w:unhideWhenUsed/>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style>
  <w:style w:type="table" w:styleId="Mkatabulky">
    <w:name w:val="Table Grid"/>
    <w:basedOn w:val="Normlntabulka"/>
    <w:uiPriority w:val="99"/>
    <w:rsid w:val="006C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line="360" w:lineRule="auto"/>
    </w:pPr>
    <w:rPr>
      <w:rFonts w:ascii="Times New Roman" w:eastAsia="Times New Roman" w:hAnsi="Times New Roman" w:cs="Times New Roman"/>
      <w:color w:val="000000"/>
      <w:sz w:val="24"/>
      <w:szCs w:val="24"/>
      <w:u w:color="000000"/>
      <w:bdr w:val="nil"/>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rPr>
      <w:rFonts w:eastAsia="Times New Roman" w:cs="Times New Roman"/>
      <w:szCs w:val="24"/>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line="240" w:lineRule="atLeast"/>
    </w:pPr>
    <w:rPr>
      <w:rFonts w:eastAsia="Times New Roman" w:cs="Times New Roman"/>
      <w:sz w:val="18"/>
      <w:szCs w:val="24"/>
      <w:lang w:val="en-US"/>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style>
  <w:style w:type="numbering" w:customStyle="1" w:styleId="List11">
    <w:name w:val="List 11"/>
    <w:basedOn w:val="Bezseznamu"/>
    <w:rsid w:val="00357040"/>
  </w:style>
  <w:style w:type="numbering" w:customStyle="1" w:styleId="List12">
    <w:name w:val="List 12"/>
    <w:basedOn w:val="Bezseznamu"/>
    <w:rsid w:val="00357040"/>
  </w:style>
  <w:style w:type="paragraph" w:customStyle="1" w:styleId="Default">
    <w:name w:val="Default"/>
    <w:rsid w:val="00C81BE1"/>
    <w:pPr>
      <w:autoSpaceDE w:val="0"/>
      <w:autoSpaceDN w:val="0"/>
      <w:adjustRightInd w:val="0"/>
    </w:pPr>
    <w:rPr>
      <w:rFonts w:ascii="Times New Roman" w:hAnsi="Times New Roman" w:cs="Times New Roman"/>
      <w:color w:val="000000"/>
      <w:sz w:val="24"/>
      <w:szCs w:val="24"/>
    </w:rPr>
  </w:style>
  <w:style w:type="numbering" w:customStyle="1" w:styleId="List9">
    <w:name w:val="List 9"/>
    <w:basedOn w:val="Bezseznamu"/>
    <w:rsid w:val="004D0990"/>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19"/>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tabs>
        <w:tab w:val="num" w:pos="720"/>
      </w:tabs>
      <w:autoSpaceDN/>
      <w:spacing w:line="276" w:lineRule="auto"/>
      <w:ind w:left="720" w:hanging="720"/>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tabs>
        <w:tab w:val="num" w:pos="720"/>
      </w:tabs>
      <w:autoSpaceDN/>
      <w:spacing w:before="360"/>
      <w:ind w:left="720" w:hanging="72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tabs>
        <w:tab w:val="left" w:pos="426"/>
        <w:tab w:val="num" w:pos="1440"/>
      </w:tabs>
      <w:autoSpaceDN/>
      <w:spacing w:before="120"/>
      <w:ind w:left="1440" w:hanging="7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1"/>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1"/>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tabs>
        <w:tab w:val="num" w:pos="782"/>
        <w:tab w:val="left" w:pos="851"/>
        <w:tab w:val="num" w:pos="1440"/>
      </w:tabs>
      <w:autoSpaceDN/>
      <w:spacing w:before="120" w:after="120"/>
      <w:ind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style>
  <w:style w:type="numbering" w:customStyle="1" w:styleId="Styl1">
    <w:name w:val="Styl1"/>
    <w:uiPriority w:val="99"/>
    <w:rsid w:val="00F70C5F"/>
  </w:style>
  <w:style w:type="paragraph" w:customStyle="1" w:styleId="Styl2">
    <w:name w:val="Styl2"/>
    <w:basedOn w:val="Odstavecseseznamem"/>
    <w:link w:val="Styl2Char"/>
    <w:qFormat/>
    <w:rsid w:val="00F312B1"/>
    <w:pPr>
      <w:tabs>
        <w:tab w:val="num" w:pos="1440"/>
      </w:tabs>
      <w:ind w:left="1440" w:hanging="720"/>
    </w:pPr>
    <w:rPr>
      <w:rFonts w:cs="Arial"/>
      <w:b/>
      <w:szCs w:val="20"/>
    </w:rPr>
  </w:style>
  <w:style w:type="character" w:customStyle="1" w:styleId="Styl2Char">
    <w:name w:val="Styl2 Char"/>
    <w:basedOn w:val="OdstavecseseznamemChar"/>
    <w:link w:val="Styl2"/>
    <w:rsid w:val="00F312B1"/>
    <w:rPr>
      <w:rFonts w:ascii="Arial" w:eastAsia="Times New Roman" w:hAnsi="Arial" w:cs="Times New Roman"/>
      <w:b/>
      <w:sz w:val="20"/>
      <w:szCs w:val="24"/>
      <w:lang w:eastAsia="cs-CZ"/>
    </w:rPr>
  </w:style>
  <w:style w:type="paragraph" w:customStyle="1" w:styleId="bntext2rovn">
    <w:name w:val="běžný text 2. úrovně"/>
    <w:basedOn w:val="Normln"/>
    <w:link w:val="bntext2rovnChar"/>
    <w:rsid w:val="00CD7F84"/>
    <w:pPr>
      <w:keepLines/>
      <w:tabs>
        <w:tab w:val="num" w:pos="2160"/>
      </w:tabs>
      <w:autoSpaceDN/>
      <w:spacing w:after="140" w:line="280" w:lineRule="exact"/>
      <w:ind w:left="2160" w:hanging="720"/>
      <w:textAlignment w:val="auto"/>
      <w:outlineLvl w:val="2"/>
    </w:pPr>
    <w:rPr>
      <w:rFonts w:cs="Arial"/>
      <w:sz w:val="22"/>
    </w:rPr>
  </w:style>
  <w:style w:type="paragraph" w:customStyle="1" w:styleId="bntext3rovn">
    <w:name w:val="běžný text 3. úrovně"/>
    <w:basedOn w:val="Normln"/>
    <w:rsid w:val="00CD7F84"/>
    <w:pPr>
      <w:tabs>
        <w:tab w:val="num" w:pos="2880"/>
      </w:tabs>
      <w:autoSpaceDN/>
      <w:jc w:val="left"/>
      <w:textAlignment w:val="auto"/>
    </w:pPr>
    <w:rPr>
      <w:sz w:val="22"/>
    </w:rPr>
  </w:style>
  <w:style w:type="paragraph" w:customStyle="1" w:styleId="nadpis2rovn">
    <w:name w:val="nadpis 2. úrovně"/>
    <w:basedOn w:val="Normln"/>
    <w:next w:val="bntext3rovn"/>
    <w:rsid w:val="00CD7F84"/>
    <w:pPr>
      <w:keepNext/>
      <w:tabs>
        <w:tab w:val="num" w:pos="1440"/>
      </w:tabs>
      <w:autoSpaceDN/>
      <w:spacing w:after="140" w:line="240" w:lineRule="exact"/>
      <w:ind w:left="1440" w:hanging="720"/>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eastAsia="Times New Roman"/>
      <w:sz w:val="22"/>
      <w:szCs w:val="24"/>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top w:w="28" w:type="dxa"/>
        <w:left w:w="115" w:type="dxa"/>
        <w:bottom w:w="28" w:type="dxa"/>
        <w:right w:w="115" w:type="dxa"/>
      </w:tblCellMar>
    </w:tblPr>
  </w:style>
  <w:style w:type="table" w:customStyle="1" w:styleId="a0">
    <w:basedOn w:val="Normlntabulka"/>
    <w:tblPr>
      <w:tblStyleRowBandSize w:val="1"/>
      <w:tblStyleColBandSize w:val="1"/>
      <w:tblCellMar>
        <w:top w:w="28" w:type="dxa"/>
        <w:left w:w="115" w:type="dxa"/>
        <w:bottom w:w="28" w:type="dxa"/>
        <w:right w:w="115" w:type="dxa"/>
      </w:tblCellMar>
    </w:tblPr>
  </w:style>
  <w:style w:type="table" w:customStyle="1" w:styleId="a1">
    <w:basedOn w:val="Normlntabulka"/>
    <w:tblPr>
      <w:tblStyleRowBandSize w:val="1"/>
      <w:tblStyleColBandSize w:val="1"/>
      <w:tblCellMar>
        <w:top w:w="28" w:type="dxa"/>
        <w:left w:w="115" w:type="dxa"/>
        <w:bottom w:w="28" w:type="dxa"/>
        <w:right w:w="115" w:type="dxa"/>
      </w:tblCellMar>
    </w:tblPr>
  </w:style>
  <w:style w:type="table" w:customStyle="1" w:styleId="a2">
    <w:basedOn w:val="Normlntabulka"/>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bm.com/support/customer/csol/terms/?id=i125-3301&amp;lc=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vzp.cz" TargetMode="External"/><Relationship Id="rId5" Type="http://schemas.openxmlformats.org/officeDocument/2006/relationships/webSettings" Target="webSettings.xml"/><Relationship Id="rId10" Type="http://schemas.openxmlformats.org/officeDocument/2006/relationships/hyperlink" Target="mailto:servicedesk@vzp.cz" TargetMode="External"/><Relationship Id="rId4" Type="http://schemas.openxmlformats.org/officeDocument/2006/relationships/settings" Target="settings.xml"/><Relationship Id="rId9" Type="http://schemas.openxmlformats.org/officeDocument/2006/relationships/hyperlink" Target="https://www.ibm.com/software/passportadvantage/pao_customer.html"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v+NPS6vIhF9WBH//r6dNA/5G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IRGRkUzZHSmhaVFJLcUlSbkNHVGJ2bVNqUkJPY215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4540</Words>
  <Characters>26787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Pešková Václava (VZP ČR Ústředí)</dc:creator>
  <cp:lastModifiedBy>Pešková Václava (VZP ČR Ústředí)</cp:lastModifiedBy>
  <cp:revision>2</cp:revision>
  <dcterms:created xsi:type="dcterms:W3CDTF">2024-07-10T05:45:00Z</dcterms:created>
  <dcterms:modified xsi:type="dcterms:W3CDTF">2024-07-10T05:45:00Z</dcterms:modified>
</cp:coreProperties>
</file>