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6B45656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5D6219">
        <w:rPr>
          <w:rFonts w:ascii="Arial" w:hAnsi="Arial"/>
          <w:szCs w:val="22"/>
        </w:rPr>
        <w:t xml:space="preserve"> </w:t>
      </w:r>
      <w:r w:rsidR="000977DF">
        <w:rPr>
          <w:rFonts w:ascii="Arial" w:hAnsi="Arial"/>
          <w:szCs w:val="22"/>
        </w:rPr>
        <w:t>2</w:t>
      </w:r>
    </w:p>
    <w:p w14:paraId="2B871BEE" w14:textId="216E22CF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5D6219">
        <w:rPr>
          <w:rFonts w:cs="Arial"/>
          <w:sz w:val="22"/>
        </w:rPr>
        <w:t>1371-2021-521101</w:t>
      </w:r>
      <w:r w:rsidRPr="00BF554C">
        <w:rPr>
          <w:rFonts w:cs="Arial"/>
          <w:sz w:val="22"/>
        </w:rPr>
        <w:t xml:space="preserve"> ze dne </w:t>
      </w:r>
      <w:r w:rsidR="005D6219">
        <w:rPr>
          <w:rFonts w:cs="Arial"/>
          <w:sz w:val="22"/>
        </w:rPr>
        <w:t>13.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10.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1C29A489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3D98194" w14:textId="5A4CDBFD" w:rsidR="00966ADB" w:rsidRPr="001C1C28" w:rsidRDefault="001C1C28" w:rsidP="00966AD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se sídlem Husinecká 1024/11</w:t>
      </w:r>
      <w:r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a, 130 00 Praha 3 – Žižkov, IČO: 013 12 774,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Krajský pozemkový úřad pro Olomoucký kraj, na adrese Blanická 383/1, 779 00 Olomouc</w:t>
      </w:r>
    </w:p>
    <w:p w14:paraId="46A24452" w14:textId="46B9B9E0" w:rsidR="001C1C28" w:rsidRPr="001C1C28" w:rsidRDefault="001C1C28" w:rsidP="00910492">
      <w:pPr>
        <w:tabs>
          <w:tab w:val="left" w:pos="4536"/>
        </w:tabs>
        <w:spacing w:before="240" w:after="120" w:line="360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 xml:space="preserve">JUDr. Romanem </w:t>
      </w:r>
      <w:proofErr w:type="spellStart"/>
      <w:r w:rsidRPr="001C1C28">
        <w:rPr>
          <w:rFonts w:ascii="Arial" w:hAnsi="Arial" w:cs="Arial"/>
        </w:rPr>
        <w:t>Brnčalem</w:t>
      </w:r>
      <w:proofErr w:type="spellEnd"/>
      <w:r w:rsidRPr="001C1C28">
        <w:rPr>
          <w:rFonts w:ascii="Arial" w:hAnsi="Arial" w:cs="Arial"/>
        </w:rPr>
        <w:t>, LL. M., ředitelem KPÚ pro Olomoucký kraj</w:t>
      </w:r>
    </w:p>
    <w:p w14:paraId="5A23CFFC" w14:textId="5E1C9832" w:rsidR="001C1C28" w:rsidRPr="001C1C28" w:rsidRDefault="001C1C28" w:rsidP="00910492">
      <w:pPr>
        <w:tabs>
          <w:tab w:val="left" w:pos="4536"/>
        </w:tabs>
        <w:spacing w:after="120" w:line="276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Ve smluvních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="00910492">
        <w:rPr>
          <w:rFonts w:ascii="Arial" w:hAnsi="Arial" w:cs="Arial"/>
        </w:rPr>
        <w:tab/>
      </w:r>
      <w:proofErr w:type="gramEnd"/>
      <w:r w:rsidRPr="001C1C28">
        <w:rPr>
          <w:rFonts w:ascii="Arial" w:hAnsi="Arial" w:cs="Arial"/>
        </w:rPr>
        <w:t>JUDr. Roman</w:t>
      </w:r>
      <w:r w:rsidR="00910492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Brnčal</w:t>
      </w:r>
      <w:r w:rsidR="00910492">
        <w:rPr>
          <w:rFonts w:ascii="Arial" w:hAnsi="Arial" w:cs="Arial"/>
        </w:rPr>
        <w:t>em</w:t>
      </w:r>
      <w:proofErr w:type="spellEnd"/>
      <w:r w:rsidRPr="001C1C28">
        <w:rPr>
          <w:rFonts w:ascii="Arial" w:hAnsi="Arial" w:cs="Arial"/>
        </w:rPr>
        <w:t>, LL. M.</w:t>
      </w:r>
      <w:r w:rsidR="00910492">
        <w:rPr>
          <w:rFonts w:ascii="Arial" w:hAnsi="Arial" w:cs="Arial"/>
        </w:rPr>
        <w:t>, ředitelem KPÚ pro Olomoucký kraj</w:t>
      </w:r>
    </w:p>
    <w:p w14:paraId="2AEEDA5A" w14:textId="5E11E16F" w:rsidR="001C1C28" w:rsidRPr="001C1C28" w:rsidRDefault="001C1C28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 technických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</w:t>
      </w:r>
      <w:proofErr w:type="gramEnd"/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Kateřin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Neumanov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vedoucí Pobočky Šumperk</w:t>
      </w:r>
    </w:p>
    <w:p w14:paraId="283B8670" w14:textId="6BD88DB5" w:rsidR="001C1C28" w:rsidRPr="001C1C28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Ev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Soósov</w:t>
      </w:r>
      <w:r w:rsidR="00910492">
        <w:rPr>
          <w:rFonts w:ascii="Arial" w:hAnsi="Arial" w:cs="Arial"/>
        </w:rPr>
        <w:t>ou</w:t>
      </w:r>
      <w:proofErr w:type="spellEnd"/>
      <w:r w:rsidRPr="001C1C28">
        <w:rPr>
          <w:rFonts w:ascii="Arial" w:hAnsi="Arial" w:cs="Arial"/>
        </w:rPr>
        <w:t>, Pobočka Šumperk</w:t>
      </w:r>
    </w:p>
    <w:p w14:paraId="59E24642" w14:textId="4678CB2B" w:rsidR="009309C4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Ing. Roman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Svobodov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Pobočka Šumper</w:t>
      </w:r>
      <w:r w:rsidR="009309C4">
        <w:rPr>
          <w:rFonts w:ascii="Arial" w:hAnsi="Arial" w:cs="Arial"/>
        </w:rPr>
        <w:t>k</w:t>
      </w:r>
    </w:p>
    <w:p w14:paraId="48651F03" w14:textId="27D2B7CF" w:rsidR="00E0086F" w:rsidRPr="009309C4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07942557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E21725">
        <w:rPr>
          <w:rFonts w:ascii="Arial" w:hAnsi="Arial" w:cs="Arial"/>
        </w:rPr>
        <w:t xml:space="preserve"> </w:t>
      </w:r>
      <w:r w:rsidR="001C1C28">
        <w:rPr>
          <w:rFonts w:ascii="Arial" w:hAnsi="Arial" w:cs="Arial"/>
        </w:rPr>
        <w:t>+420 606 073 755, + 420 721 238 380</w:t>
      </w:r>
    </w:p>
    <w:p w14:paraId="073F5E87" w14:textId="37739148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E21725">
        <w:rPr>
          <w:rFonts w:ascii="Arial" w:hAnsi="Arial" w:cs="Arial"/>
          <w:snapToGrid w:val="0"/>
        </w:rPr>
        <w:t xml:space="preserve"> </w:t>
      </w:r>
      <w:hyperlink r:id="rId13" w:history="1">
        <w:r w:rsidR="00B14845" w:rsidRPr="00FF329C">
          <w:rPr>
            <w:rStyle w:val="Hypertextovodkaz"/>
            <w:rFonts w:ascii="Arial" w:hAnsi="Arial" w:cs="Arial"/>
            <w:snapToGrid w:val="0"/>
          </w:rPr>
          <w:t>pk.sumperk@spucr.cz</w:t>
        </w:r>
      </w:hyperlink>
      <w:r w:rsidR="00B14845">
        <w:rPr>
          <w:rFonts w:ascii="Arial" w:hAnsi="Arial" w:cs="Arial"/>
          <w:snapToGrid w:val="0"/>
        </w:rPr>
        <w:t xml:space="preserve"> </w:t>
      </w:r>
    </w:p>
    <w:p w14:paraId="251A0BC1" w14:textId="0081C195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z49per3</w:t>
      </w:r>
    </w:p>
    <w:p w14:paraId="7341B31E" w14:textId="1B3B314F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Česká národní banka</w:t>
      </w:r>
    </w:p>
    <w:p w14:paraId="3A817518" w14:textId="5F8FA903" w:rsidR="00E0086F" w:rsidRPr="00BF554C" w:rsidRDefault="00E0086F" w:rsidP="00966ADB">
      <w:pPr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3723001/0710</w:t>
      </w:r>
    </w:p>
    <w:p w14:paraId="1375E27A" w14:textId="08627DB0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966ADB">
      <w:pPr>
        <w:spacing w:after="120"/>
        <w:ind w:left="567" w:right="141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966ADB">
      <w:pPr>
        <w:spacing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21C6854B" w14:textId="77777777" w:rsidR="001C1C28" w:rsidRPr="006E6B32" w:rsidRDefault="001C1C28" w:rsidP="006E6B32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b/>
        </w:rPr>
      </w:pPr>
      <w:r w:rsidRPr="006E6B32">
        <w:rPr>
          <w:rFonts w:ascii="Arial" w:hAnsi="Arial" w:cs="Arial"/>
          <w:b/>
          <w:bCs/>
        </w:rPr>
        <w:t>Sdružení Agroprojekce Litomyšl spol. s r.o. a Zeměměřictví Jeseník s.r.o.</w:t>
      </w:r>
    </w:p>
    <w:p w14:paraId="5EA754A0" w14:textId="21BA44C5" w:rsidR="001C1C28" w:rsidRDefault="001C1C28" w:rsidP="00966ADB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1C1C28">
        <w:rPr>
          <w:rFonts w:ascii="Arial" w:hAnsi="Arial" w:cs="Arial"/>
          <w:b/>
          <w:bCs/>
        </w:rPr>
        <w:t>Reprezentant společnosti:</w:t>
      </w:r>
    </w:p>
    <w:p w14:paraId="57F46430" w14:textId="7BA406D7" w:rsidR="001C1C28" w:rsidRPr="001C1C28" w:rsidRDefault="001C1C28" w:rsidP="00966ADB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1C1C28">
        <w:rPr>
          <w:rFonts w:ascii="Arial" w:hAnsi="Arial" w:cs="Arial"/>
          <w:b/>
          <w:bCs/>
        </w:rPr>
        <w:t>Agroprojekce Litomyšl spol. s r.o.</w:t>
      </w:r>
    </w:p>
    <w:p w14:paraId="55B46C63" w14:textId="77777777" w:rsidR="001C1C28" w:rsidRPr="001C1C28" w:rsidRDefault="001C1C28" w:rsidP="00966ADB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společnost založená a existující podle právního řádu České republiky, se sídlem Rokycanova</w:t>
      </w:r>
    </w:p>
    <w:p w14:paraId="05AF01D6" w14:textId="77777777" w:rsidR="001C1C28" w:rsidRPr="001C1C28" w:rsidRDefault="001C1C28" w:rsidP="00966ADB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114/4, 566 01 Vysoké Mýto, IČO: 64255611, zapsaná v obchodním rejstříku vedeném</w:t>
      </w:r>
    </w:p>
    <w:p w14:paraId="25E6297D" w14:textId="77777777" w:rsidR="001C1C28" w:rsidRPr="001C1C28" w:rsidRDefault="001C1C28" w:rsidP="00966ADB">
      <w:pPr>
        <w:spacing w:after="120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u Krajského soudu v Hradci Králové, oddíl C, vložka 8321</w:t>
      </w:r>
    </w:p>
    <w:p w14:paraId="09D2637A" w14:textId="33529C6C" w:rsidR="001C1C28" w:rsidRPr="001C1C28" w:rsidRDefault="001C1C28" w:rsidP="00F23B4E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Zastoupená: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 Jaroslavem Jakoubkem, jednatelem</w:t>
      </w:r>
    </w:p>
    <w:p w14:paraId="673EE23C" w14:textId="51EBBE2E" w:rsidR="001C1C28" w:rsidRPr="001C1C28" w:rsidRDefault="001C1C28" w:rsidP="00F23B4E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Ve smluvních záležitostech zastoupená: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 Jaroslav</w:t>
      </w:r>
      <w:r w:rsidR="00B14845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 xml:space="preserve"> Jakoubk</w:t>
      </w:r>
      <w:r w:rsidR="00B14845">
        <w:rPr>
          <w:rFonts w:ascii="Arial" w:hAnsi="Arial" w:cs="Arial"/>
        </w:rPr>
        <w:t>em</w:t>
      </w:r>
    </w:p>
    <w:p w14:paraId="66DFC444" w14:textId="1AAB15FE" w:rsidR="00966ADB" w:rsidRDefault="001C1C28" w:rsidP="00F23B4E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V technických záležitostech zastoupená:</w:t>
      </w:r>
      <w:r w:rsidR="00966ADB">
        <w:rPr>
          <w:rFonts w:ascii="Arial" w:hAnsi="Arial" w:cs="Arial"/>
        </w:rPr>
        <w:t xml:space="preserve"> </w:t>
      </w:r>
      <w:proofErr w:type="spellStart"/>
      <w:r w:rsidR="00E23465">
        <w:rPr>
          <w:rFonts w:ascii="Arial" w:hAnsi="Arial" w:cs="Arial"/>
        </w:rPr>
        <w:t>xxxxx</w:t>
      </w:r>
      <w:proofErr w:type="spellEnd"/>
    </w:p>
    <w:p w14:paraId="3D33B893" w14:textId="77777777" w:rsidR="00966ADB" w:rsidRDefault="001C1C28" w:rsidP="006B1483">
      <w:pPr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1C1C28">
        <w:rPr>
          <w:rFonts w:ascii="Arial" w:hAnsi="Arial" w:cs="Arial"/>
          <w:b/>
          <w:bCs/>
        </w:rPr>
        <w:t>Kontaktní údaje</w:t>
      </w:r>
      <w:r w:rsidR="00966ADB">
        <w:rPr>
          <w:rFonts w:ascii="Arial" w:hAnsi="Arial" w:cs="Arial"/>
          <w:b/>
          <w:bCs/>
        </w:rPr>
        <w:t>:</w:t>
      </w:r>
    </w:p>
    <w:p w14:paraId="5D5A1CC6" w14:textId="01DB1ED6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Tel.:</w:t>
      </w:r>
      <w:r w:rsidR="00966ADB">
        <w:rPr>
          <w:rFonts w:ascii="Arial" w:hAnsi="Arial" w:cs="Arial"/>
        </w:rPr>
        <w:t xml:space="preserve"> </w:t>
      </w:r>
      <w:proofErr w:type="spellStart"/>
      <w:r w:rsidR="00E23465">
        <w:rPr>
          <w:rFonts w:ascii="Arial" w:hAnsi="Arial" w:cs="Arial"/>
        </w:rPr>
        <w:t>xxxxx</w:t>
      </w:r>
      <w:proofErr w:type="spellEnd"/>
    </w:p>
    <w:p w14:paraId="650EAEB2" w14:textId="47909483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E-mail:</w:t>
      </w:r>
      <w:r w:rsidR="00966ADB">
        <w:rPr>
          <w:rFonts w:ascii="Arial" w:hAnsi="Arial" w:cs="Arial"/>
        </w:rPr>
        <w:t xml:space="preserve"> </w:t>
      </w:r>
      <w:proofErr w:type="spellStart"/>
      <w:r w:rsidR="00E23465">
        <w:rPr>
          <w:rFonts w:ascii="Arial" w:hAnsi="Arial" w:cs="Arial"/>
        </w:rPr>
        <w:t>xxxxx</w:t>
      </w:r>
      <w:proofErr w:type="spellEnd"/>
    </w:p>
    <w:p w14:paraId="7F50C989" w14:textId="059BBE09" w:rsidR="001C1C28" w:rsidRPr="001C1C28" w:rsidRDefault="001C1C28" w:rsidP="006B14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ID datové schránky: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gv6y8j4</w:t>
      </w:r>
    </w:p>
    <w:p w14:paraId="59509C08" w14:textId="102564D6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Bankovní spojení: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MONETA Money Bank a.s. Ústí nad Orlicí</w:t>
      </w:r>
    </w:p>
    <w:p w14:paraId="047EC423" w14:textId="755265EE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Číslo účtu: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341 302 664/0600</w:t>
      </w:r>
    </w:p>
    <w:p w14:paraId="0E373568" w14:textId="10B49DB4" w:rsidR="001C1C28" w:rsidRDefault="001C1C28" w:rsidP="0079118B">
      <w:pPr>
        <w:spacing w:after="120" w:line="360" w:lineRule="auto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DIČ: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CZ64255611</w:t>
      </w:r>
    </w:p>
    <w:p w14:paraId="16FDDBB9" w14:textId="77777777" w:rsidR="001C1C28" w:rsidRPr="001C1C28" w:rsidRDefault="001C1C28" w:rsidP="0079118B">
      <w:pPr>
        <w:spacing w:after="120" w:line="360" w:lineRule="auto"/>
        <w:ind w:left="567"/>
        <w:jc w:val="both"/>
        <w:rPr>
          <w:rFonts w:ascii="Arial" w:hAnsi="Arial" w:cs="Arial"/>
          <w:b/>
          <w:bCs/>
        </w:rPr>
      </w:pPr>
      <w:r w:rsidRPr="001C1C28">
        <w:rPr>
          <w:rFonts w:ascii="Arial" w:hAnsi="Arial" w:cs="Arial"/>
          <w:b/>
          <w:bCs/>
        </w:rPr>
        <w:lastRenderedPageBreak/>
        <w:t>Zeměměřictví Jeseník s.r.o.</w:t>
      </w:r>
    </w:p>
    <w:p w14:paraId="23E2FB9C" w14:textId="77777777" w:rsidR="001C1C28" w:rsidRPr="001C1C28" w:rsidRDefault="001C1C28" w:rsidP="00445E7B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společnost založená a existující podle právního řádu České republiky, se sídlem Karla Čapka</w:t>
      </w:r>
    </w:p>
    <w:p w14:paraId="55DB5A60" w14:textId="77777777" w:rsidR="001C1C28" w:rsidRPr="001C1C28" w:rsidRDefault="001C1C28" w:rsidP="00445E7B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553, 790 01 Jeseník, IČO: 28649664, zapsaná v obchodním rejstříku vedeném u Krajského</w:t>
      </w:r>
    </w:p>
    <w:p w14:paraId="5B26F262" w14:textId="74821C80" w:rsidR="001C1C28" w:rsidRDefault="001C1C28" w:rsidP="00445E7B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soudu v Ostravě, oddíl C, vložka 45212</w:t>
      </w:r>
    </w:p>
    <w:p w14:paraId="3E8C5BAD" w14:textId="77777777" w:rsidR="00445E7B" w:rsidRDefault="00445E7B" w:rsidP="00445E7B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</w:p>
    <w:p w14:paraId="002D8DD2" w14:textId="29A5DB62" w:rsidR="001C1C28" w:rsidRDefault="001C1C28" w:rsidP="00445E7B">
      <w:pPr>
        <w:spacing w:after="120" w:line="276" w:lineRule="auto"/>
        <w:ind w:firstLine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Zastoupená: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 Romanem Stuchlíkem, jednatelem</w:t>
      </w:r>
    </w:p>
    <w:p w14:paraId="5ADE08C7" w14:textId="77777777" w:rsidR="00445E7B" w:rsidRPr="001C1C28" w:rsidRDefault="00445E7B" w:rsidP="00445E7B">
      <w:pPr>
        <w:spacing w:after="120" w:line="276" w:lineRule="auto"/>
        <w:ind w:firstLine="567"/>
        <w:contextualSpacing/>
        <w:jc w:val="both"/>
        <w:rPr>
          <w:rFonts w:ascii="Arial" w:hAnsi="Arial" w:cs="Arial"/>
        </w:rPr>
      </w:pPr>
    </w:p>
    <w:p w14:paraId="6EA65A33" w14:textId="77777777" w:rsidR="001C1C28" w:rsidRPr="00966218" w:rsidRDefault="001C1C28" w:rsidP="00445E7B">
      <w:pPr>
        <w:spacing w:after="120" w:line="276" w:lineRule="auto"/>
        <w:ind w:left="567"/>
        <w:contextualSpacing/>
        <w:jc w:val="both"/>
        <w:rPr>
          <w:rFonts w:ascii="Arial" w:hAnsi="Arial" w:cs="Arial"/>
          <w:b/>
          <w:bCs/>
        </w:rPr>
      </w:pPr>
      <w:r w:rsidRPr="00966218">
        <w:rPr>
          <w:rFonts w:ascii="Arial" w:hAnsi="Arial" w:cs="Arial"/>
          <w:b/>
          <w:bCs/>
        </w:rPr>
        <w:t>Kontaktní údaje:</w:t>
      </w:r>
    </w:p>
    <w:p w14:paraId="7EDF371C" w14:textId="21E640F2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Tel.:</w:t>
      </w:r>
      <w:r w:rsidR="00966ADB">
        <w:rPr>
          <w:rFonts w:ascii="Arial" w:hAnsi="Arial" w:cs="Arial"/>
        </w:rPr>
        <w:t xml:space="preserve"> </w:t>
      </w:r>
      <w:proofErr w:type="spellStart"/>
      <w:r w:rsidR="00E23465">
        <w:rPr>
          <w:rFonts w:ascii="Arial" w:hAnsi="Arial" w:cs="Arial"/>
        </w:rPr>
        <w:t>xxxxx</w:t>
      </w:r>
      <w:proofErr w:type="spellEnd"/>
    </w:p>
    <w:p w14:paraId="54521AA4" w14:textId="7668F256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E-mail:</w:t>
      </w:r>
      <w:r w:rsidR="00966ADB">
        <w:rPr>
          <w:rFonts w:ascii="Arial" w:hAnsi="Arial" w:cs="Arial"/>
        </w:rPr>
        <w:t xml:space="preserve"> </w:t>
      </w:r>
      <w:proofErr w:type="spellStart"/>
      <w:r w:rsidR="00E23465">
        <w:rPr>
          <w:rFonts w:ascii="Arial" w:hAnsi="Arial" w:cs="Arial"/>
        </w:rPr>
        <w:t>xxxxx</w:t>
      </w:r>
      <w:proofErr w:type="spellEnd"/>
    </w:p>
    <w:p w14:paraId="3BB40B96" w14:textId="4BBE0071" w:rsid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ID datové schránky: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yt5y5mg</w:t>
      </w:r>
    </w:p>
    <w:p w14:paraId="483330C9" w14:textId="77777777" w:rsidR="00E0086F" w:rsidRPr="00BF554C" w:rsidRDefault="00E0086F" w:rsidP="00966218">
      <w:pPr>
        <w:spacing w:after="120"/>
        <w:ind w:firstLine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A72D5F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5AD0C0B5" w:rsidR="009025E9" w:rsidRDefault="00757EE1" w:rsidP="00DF49A6">
      <w:pPr>
        <w:pStyle w:val="Level1"/>
        <w:keepNext w:val="0"/>
        <w:spacing w:before="0"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PŘEDMĚT DODATKU</w:t>
      </w:r>
    </w:p>
    <w:p w14:paraId="7667A913" w14:textId="77777777" w:rsidR="00DF49A6" w:rsidRPr="00DF49A6" w:rsidRDefault="00DF49A6" w:rsidP="00DF49A6">
      <w:pPr>
        <w:spacing w:after="0"/>
      </w:pPr>
    </w:p>
    <w:p w14:paraId="090CEE48" w14:textId="42B878B8" w:rsidR="00D509CB" w:rsidRDefault="00D509CB" w:rsidP="00DF49A6">
      <w:pPr>
        <w:pStyle w:val="Level2"/>
        <w:numPr>
          <w:ilvl w:val="1"/>
          <w:numId w:val="26"/>
        </w:numPr>
        <w:spacing w:after="240"/>
        <w:jc w:val="both"/>
        <w:rPr>
          <w:rFonts w:ascii="Arial" w:hAnsi="Arial" w:cs="Arial"/>
          <w:szCs w:val="22"/>
        </w:rPr>
      </w:pPr>
      <w:bookmarkStart w:id="0" w:name="_Ref64871997"/>
      <w:r w:rsidRPr="00D509CB">
        <w:rPr>
          <w:rFonts w:ascii="Arial" w:hAnsi="Arial" w:cs="Arial"/>
          <w:szCs w:val="22"/>
        </w:rPr>
        <w:t xml:space="preserve">Předmětem </w:t>
      </w:r>
      <w:r w:rsidR="004074BD">
        <w:rPr>
          <w:rFonts w:ascii="Arial" w:hAnsi="Arial" w:cs="Arial"/>
          <w:szCs w:val="22"/>
        </w:rPr>
        <w:t>D</w:t>
      </w:r>
      <w:r w:rsidRPr="00D509CB">
        <w:rPr>
          <w:rFonts w:ascii="Arial" w:hAnsi="Arial" w:cs="Arial"/>
          <w:szCs w:val="22"/>
        </w:rPr>
        <w:t>odatku</w:t>
      </w:r>
      <w:r w:rsidR="004074BD">
        <w:rPr>
          <w:rFonts w:ascii="Arial" w:hAnsi="Arial" w:cs="Arial"/>
          <w:szCs w:val="22"/>
        </w:rPr>
        <w:t xml:space="preserve"> č. 2</w:t>
      </w:r>
      <w:r w:rsidRPr="00D509CB">
        <w:rPr>
          <w:rFonts w:ascii="Arial" w:hAnsi="Arial" w:cs="Arial"/>
          <w:szCs w:val="22"/>
        </w:rPr>
        <w:t xml:space="preserve"> jsou </w:t>
      </w:r>
      <w:r w:rsidRPr="00DC175B">
        <w:rPr>
          <w:rFonts w:ascii="Arial" w:hAnsi="Arial" w:cs="Arial"/>
          <w:b/>
          <w:bCs/>
          <w:szCs w:val="22"/>
        </w:rPr>
        <w:t>nepodstatné změny závazku ze smlouvy</w:t>
      </w:r>
      <w:r w:rsidR="001C1C2A">
        <w:rPr>
          <w:rFonts w:ascii="Arial" w:hAnsi="Arial" w:cs="Arial"/>
          <w:b/>
          <w:bCs/>
          <w:szCs w:val="22"/>
        </w:rPr>
        <w:t xml:space="preserve"> – z</w:t>
      </w:r>
      <w:r w:rsidRPr="00D509CB">
        <w:rPr>
          <w:rFonts w:ascii="Arial" w:hAnsi="Arial" w:cs="Arial"/>
          <w:b/>
          <w:bCs/>
          <w:szCs w:val="22"/>
        </w:rPr>
        <w:t>měna počtu</w:t>
      </w:r>
      <w:r w:rsidRPr="00D509CB">
        <w:rPr>
          <w:rFonts w:ascii="Arial" w:hAnsi="Arial" w:cs="Arial"/>
          <w:szCs w:val="22"/>
        </w:rPr>
        <w:t xml:space="preserve"> </w:t>
      </w:r>
      <w:r w:rsidRPr="00D509CB">
        <w:rPr>
          <w:rFonts w:ascii="Arial" w:hAnsi="Arial" w:cs="Arial"/>
          <w:b/>
          <w:bCs/>
          <w:szCs w:val="22"/>
        </w:rPr>
        <w:t>měrných</w:t>
      </w:r>
      <w:r w:rsidRPr="00D509CB">
        <w:rPr>
          <w:rFonts w:ascii="Arial" w:hAnsi="Arial" w:cs="Arial"/>
          <w:szCs w:val="22"/>
        </w:rPr>
        <w:t xml:space="preserve"> </w:t>
      </w:r>
      <w:r w:rsidRPr="00E7179B">
        <w:rPr>
          <w:rFonts w:ascii="Arial" w:hAnsi="Arial" w:cs="Arial"/>
          <w:b/>
          <w:bCs/>
          <w:szCs w:val="22"/>
        </w:rPr>
        <w:t>jednotek</w:t>
      </w:r>
      <w:r w:rsidR="00F42C66">
        <w:rPr>
          <w:rFonts w:ascii="Arial" w:hAnsi="Arial" w:cs="Arial"/>
          <w:b/>
          <w:bCs/>
          <w:szCs w:val="22"/>
        </w:rPr>
        <w:t xml:space="preserve">, </w:t>
      </w:r>
      <w:r w:rsidR="00F42C66" w:rsidRPr="006A51EE">
        <w:rPr>
          <w:rFonts w:ascii="Arial" w:hAnsi="Arial" w:cs="Arial"/>
          <w:szCs w:val="22"/>
        </w:rPr>
        <w:t>kterou se mění hodnota závazku</w:t>
      </w:r>
      <w:r w:rsidR="006A51EE" w:rsidRPr="006A51EE">
        <w:rPr>
          <w:rFonts w:ascii="Arial" w:hAnsi="Arial" w:cs="Arial"/>
          <w:szCs w:val="22"/>
        </w:rPr>
        <w:t>, a to:</w:t>
      </w:r>
      <w:r w:rsidR="006A51EE">
        <w:rPr>
          <w:rFonts w:ascii="Arial" w:hAnsi="Arial" w:cs="Arial"/>
          <w:b/>
          <w:bCs/>
          <w:szCs w:val="22"/>
        </w:rPr>
        <w:t xml:space="preserve"> </w:t>
      </w:r>
      <w:r w:rsidR="0019571C">
        <w:rPr>
          <w:rFonts w:ascii="Arial" w:hAnsi="Arial" w:cs="Arial"/>
          <w:szCs w:val="22"/>
        </w:rPr>
        <w:t xml:space="preserve"> </w:t>
      </w:r>
      <w:r w:rsidRPr="00D509CB">
        <w:rPr>
          <w:rFonts w:ascii="Arial" w:hAnsi="Arial" w:cs="Arial"/>
          <w:szCs w:val="22"/>
        </w:rPr>
        <w:t xml:space="preserve"> </w:t>
      </w:r>
    </w:p>
    <w:p w14:paraId="3ECF63ED" w14:textId="5D48D2A9" w:rsidR="00F850A0" w:rsidRDefault="00F850A0" w:rsidP="00A00A5C">
      <w:pPr>
        <w:pStyle w:val="Level2"/>
        <w:numPr>
          <w:ilvl w:val="0"/>
          <w:numId w:val="27"/>
        </w:numPr>
        <w:spacing w:after="0"/>
        <w:ind w:left="1077" w:hanging="357"/>
        <w:jc w:val="both"/>
        <w:rPr>
          <w:rFonts w:ascii="Arial" w:hAnsi="Arial" w:cs="Arial"/>
          <w:b/>
          <w:bCs/>
          <w:szCs w:val="22"/>
          <w:u w:val="single"/>
        </w:rPr>
      </w:pPr>
      <w:r w:rsidRPr="00F850A0">
        <w:rPr>
          <w:rFonts w:ascii="Arial" w:hAnsi="Arial" w:cs="Arial"/>
          <w:b/>
          <w:bCs/>
          <w:szCs w:val="22"/>
          <w:u w:val="single"/>
        </w:rPr>
        <w:t>navýšení počtu MJ</w:t>
      </w:r>
      <w:r w:rsidR="006A51EE">
        <w:rPr>
          <w:rFonts w:ascii="Arial" w:hAnsi="Arial" w:cs="Arial"/>
          <w:b/>
          <w:bCs/>
          <w:szCs w:val="22"/>
          <w:u w:val="single"/>
        </w:rPr>
        <w:t xml:space="preserve"> </w:t>
      </w:r>
      <w:r w:rsidR="006A51EE" w:rsidRPr="00857D6E">
        <w:rPr>
          <w:rFonts w:ascii="Arial" w:hAnsi="Arial" w:cs="Arial"/>
          <w:szCs w:val="22"/>
          <w:u w:val="single"/>
        </w:rPr>
        <w:t xml:space="preserve">u </w:t>
      </w:r>
      <w:r w:rsidR="00857D6E" w:rsidRPr="00857D6E">
        <w:rPr>
          <w:rFonts w:ascii="Arial" w:hAnsi="Arial" w:cs="Arial"/>
          <w:szCs w:val="22"/>
          <w:u w:val="single"/>
        </w:rPr>
        <w:t>dílčích částí a hlavního celku</w:t>
      </w:r>
      <w:r w:rsidRPr="00A00A5C">
        <w:rPr>
          <w:rFonts w:ascii="Arial" w:hAnsi="Arial" w:cs="Arial"/>
          <w:szCs w:val="22"/>
          <w:u w:val="single"/>
        </w:rPr>
        <w:t>:</w:t>
      </w:r>
      <w:r w:rsidRPr="00F850A0">
        <w:rPr>
          <w:rFonts w:ascii="Arial" w:hAnsi="Arial" w:cs="Arial"/>
          <w:b/>
          <w:bCs/>
          <w:szCs w:val="22"/>
          <w:u w:val="single"/>
        </w:rPr>
        <w:t xml:space="preserve"> </w:t>
      </w:r>
    </w:p>
    <w:p w14:paraId="30F8EFEC" w14:textId="6AEE660E" w:rsidR="00A00A5C" w:rsidRPr="001A4396" w:rsidRDefault="009F202E" w:rsidP="009F202E">
      <w:pPr>
        <w:pStyle w:val="Level2"/>
        <w:numPr>
          <w:ilvl w:val="0"/>
          <w:numId w:val="28"/>
        </w:numPr>
        <w:spacing w:after="0"/>
        <w:ind w:left="1276" w:hanging="283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szCs w:val="22"/>
        </w:rPr>
        <w:t xml:space="preserve">6.3.1 </w:t>
      </w:r>
      <w:r w:rsidRPr="007C2832">
        <w:rPr>
          <w:rFonts w:ascii="Arial" w:eastAsia="Arial" w:hAnsi="Arial" w:cs="Arial"/>
        </w:rPr>
        <w:t>Vypracování plánu společných zařízení</w:t>
      </w:r>
      <w:r w:rsidR="00052F95">
        <w:rPr>
          <w:rFonts w:ascii="Arial" w:eastAsia="Arial" w:hAnsi="Arial" w:cs="Arial"/>
        </w:rPr>
        <w:t xml:space="preserve"> – původní počet </w:t>
      </w:r>
      <w:r w:rsidR="00052F95" w:rsidRPr="001A4396">
        <w:rPr>
          <w:rFonts w:ascii="Arial" w:eastAsia="Arial" w:hAnsi="Arial" w:cs="Arial"/>
          <w:b/>
          <w:bCs/>
        </w:rPr>
        <w:t>203</w:t>
      </w:r>
      <w:r w:rsidR="001A4396" w:rsidRPr="001A4396">
        <w:rPr>
          <w:rFonts w:ascii="Arial" w:eastAsia="Arial" w:hAnsi="Arial" w:cs="Arial"/>
          <w:b/>
          <w:bCs/>
        </w:rPr>
        <w:t xml:space="preserve"> MJ</w:t>
      </w:r>
      <w:r w:rsidR="00052F95">
        <w:rPr>
          <w:rFonts w:ascii="Arial" w:eastAsia="Arial" w:hAnsi="Arial" w:cs="Arial"/>
        </w:rPr>
        <w:t xml:space="preserve"> (ha) se mění na </w:t>
      </w:r>
      <w:r w:rsidR="00052F95" w:rsidRPr="001A4396">
        <w:rPr>
          <w:rFonts w:ascii="Arial" w:eastAsia="Arial" w:hAnsi="Arial" w:cs="Arial"/>
          <w:b/>
          <w:bCs/>
        </w:rPr>
        <w:t xml:space="preserve">204 </w:t>
      </w:r>
      <w:r w:rsidR="001A4396" w:rsidRPr="001A4396">
        <w:rPr>
          <w:rFonts w:ascii="Arial" w:eastAsia="Arial" w:hAnsi="Arial" w:cs="Arial"/>
          <w:b/>
          <w:bCs/>
        </w:rPr>
        <w:t>MJ</w:t>
      </w:r>
    </w:p>
    <w:p w14:paraId="61BAB15C" w14:textId="77777777" w:rsidR="001A4396" w:rsidRPr="001A4396" w:rsidRDefault="001A4396" w:rsidP="009F202E">
      <w:pPr>
        <w:pStyle w:val="Level2"/>
        <w:numPr>
          <w:ilvl w:val="0"/>
          <w:numId w:val="28"/>
        </w:numPr>
        <w:spacing w:after="0"/>
        <w:ind w:left="1276" w:hanging="283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eastAsia="Arial" w:hAnsi="Arial" w:cs="Arial"/>
        </w:rPr>
        <w:t xml:space="preserve">6.3.2 </w:t>
      </w:r>
      <w:r w:rsidRPr="00914153">
        <w:rPr>
          <w:rFonts w:ascii="Arial" w:eastAsia="Arial" w:hAnsi="Arial" w:cs="Arial"/>
        </w:rPr>
        <w:t>Vypracování návrhu nového uspořádání pozemků k jeho vystavení dle § 11 odst. 1 Zákona</w:t>
      </w:r>
      <w:r>
        <w:rPr>
          <w:rFonts w:ascii="Arial" w:eastAsia="Arial" w:hAnsi="Arial" w:cs="Arial"/>
        </w:rPr>
        <w:t xml:space="preserve"> – původní počet </w:t>
      </w:r>
      <w:r w:rsidRPr="001A4396">
        <w:rPr>
          <w:rFonts w:ascii="Arial" w:eastAsia="Arial" w:hAnsi="Arial" w:cs="Arial"/>
          <w:b/>
          <w:bCs/>
        </w:rPr>
        <w:t>203 MJ</w:t>
      </w:r>
      <w:r>
        <w:rPr>
          <w:rFonts w:ascii="Arial" w:eastAsia="Arial" w:hAnsi="Arial" w:cs="Arial"/>
        </w:rPr>
        <w:t xml:space="preserve"> (ha) se mění na </w:t>
      </w:r>
      <w:r w:rsidRPr="001A4396">
        <w:rPr>
          <w:rFonts w:ascii="Arial" w:eastAsia="Arial" w:hAnsi="Arial" w:cs="Arial"/>
          <w:b/>
          <w:bCs/>
        </w:rPr>
        <w:t>204 MJ</w:t>
      </w:r>
    </w:p>
    <w:p w14:paraId="3E1C4FC0" w14:textId="42E2CCF5" w:rsidR="001A4396" w:rsidRDefault="001A4396" w:rsidP="009F202E">
      <w:pPr>
        <w:pStyle w:val="Level2"/>
        <w:numPr>
          <w:ilvl w:val="0"/>
          <w:numId w:val="28"/>
        </w:numPr>
        <w:spacing w:after="0"/>
        <w:ind w:left="1276" w:hanging="283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eastAsia="Arial" w:hAnsi="Arial" w:cs="Arial"/>
        </w:rPr>
        <w:t xml:space="preserve">6.4 Mapové dílo – původní počet </w:t>
      </w:r>
      <w:r w:rsidRPr="001A4396">
        <w:rPr>
          <w:rFonts w:ascii="Arial" w:eastAsia="Arial" w:hAnsi="Arial" w:cs="Arial"/>
          <w:b/>
          <w:bCs/>
        </w:rPr>
        <w:t>203 MJ</w:t>
      </w:r>
      <w:r>
        <w:rPr>
          <w:rFonts w:ascii="Arial" w:eastAsia="Arial" w:hAnsi="Arial" w:cs="Arial"/>
        </w:rPr>
        <w:t xml:space="preserve"> (ha) se mění na </w:t>
      </w:r>
      <w:r w:rsidRPr="001A4396">
        <w:rPr>
          <w:rFonts w:ascii="Arial" w:eastAsia="Arial" w:hAnsi="Arial" w:cs="Arial"/>
          <w:b/>
          <w:bCs/>
        </w:rPr>
        <w:t>204 MJ</w:t>
      </w:r>
      <w:r>
        <w:rPr>
          <w:rFonts w:ascii="Arial" w:eastAsia="Arial" w:hAnsi="Arial" w:cs="Arial"/>
        </w:rPr>
        <w:t xml:space="preserve"> </w:t>
      </w:r>
    </w:p>
    <w:p w14:paraId="4169C48F" w14:textId="77777777" w:rsidR="00A00A5C" w:rsidRPr="00F850A0" w:rsidRDefault="00A00A5C" w:rsidP="00A00A5C">
      <w:pPr>
        <w:pStyle w:val="Level2"/>
        <w:numPr>
          <w:ilvl w:val="0"/>
          <w:numId w:val="0"/>
        </w:numPr>
        <w:spacing w:after="0"/>
        <w:ind w:left="1077"/>
        <w:jc w:val="both"/>
        <w:rPr>
          <w:rFonts w:ascii="Arial" w:hAnsi="Arial" w:cs="Arial"/>
          <w:b/>
          <w:bCs/>
          <w:szCs w:val="22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16"/>
        <w:gridCol w:w="4382"/>
        <w:gridCol w:w="633"/>
        <w:gridCol w:w="1183"/>
        <w:gridCol w:w="1303"/>
        <w:gridCol w:w="1417"/>
      </w:tblGrid>
      <w:tr w:rsidR="006B3DC0" w14:paraId="44AFEB37" w14:textId="77777777" w:rsidTr="00CD16CA">
        <w:trPr>
          <w:trHeight w:val="91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6BF9F7" w14:textId="77777777" w:rsidR="006B3DC0" w:rsidRPr="004D5928" w:rsidRDefault="006B3DC0" w:rsidP="00F07C88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13FFD" w14:textId="77777777" w:rsidR="006B3DC0" w:rsidRPr="004D5928" w:rsidRDefault="006B3DC0" w:rsidP="00F07C88">
            <w:pPr>
              <w:rPr>
                <w:rFonts w:ascii="Arial" w:eastAsia="Arial" w:hAnsi="Arial" w:cs="Arial"/>
                <w:b/>
                <w:bCs/>
              </w:rPr>
            </w:pPr>
          </w:p>
          <w:p w14:paraId="29E09CC9" w14:textId="400162B3" w:rsidR="006B3DC0" w:rsidRPr="004D5928" w:rsidRDefault="006B3DC0" w:rsidP="00F07C88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Hlavní celek / Dílčí část Hlavního celku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B96A0" w14:textId="77777777" w:rsidR="006B3DC0" w:rsidRPr="004D5928" w:rsidRDefault="006B3DC0" w:rsidP="00F07C8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0FE362A" w14:textId="77777777" w:rsidR="006B3DC0" w:rsidRPr="004D5928" w:rsidRDefault="006B3DC0" w:rsidP="00F07C8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0D261" w14:textId="65B40BFC" w:rsidR="006B3DC0" w:rsidRPr="004D5928" w:rsidRDefault="006B3DC0" w:rsidP="00F07C8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 počtu MJ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D7212" w14:textId="71D284BF" w:rsidR="006B3DC0" w:rsidRPr="004D5928" w:rsidRDefault="006B3DC0" w:rsidP="00F07C8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DE67E" w14:textId="43FD6C4E" w:rsidR="006B3DC0" w:rsidRPr="004D5928" w:rsidRDefault="006B3DC0" w:rsidP="00F07C8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ceny v Kč bez DPH </w:t>
            </w:r>
          </w:p>
        </w:tc>
      </w:tr>
      <w:tr w:rsidR="006B3DC0" w14:paraId="0E0DBDED" w14:textId="77777777" w:rsidTr="00CD16CA">
        <w:trPr>
          <w:trHeight w:val="359"/>
        </w:trPr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0BCCD0F6" w14:textId="70D84C91" w:rsidR="006B3DC0" w:rsidRPr="004D5928" w:rsidRDefault="006B3DC0" w:rsidP="004D592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D59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6.3.</w:t>
            </w:r>
          </w:p>
        </w:tc>
        <w:tc>
          <w:tcPr>
            <w:tcW w:w="4382" w:type="dxa"/>
            <w:shd w:val="clear" w:color="auto" w:fill="D9D9D9" w:themeFill="background1" w:themeFillShade="D9"/>
            <w:vAlign w:val="center"/>
          </w:tcPr>
          <w:p w14:paraId="4B792D95" w14:textId="03B514A4" w:rsidR="006B3DC0" w:rsidRPr="004D5928" w:rsidRDefault="006B3DC0" w:rsidP="004D592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Návrhové práce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2D67A29" w14:textId="77777777" w:rsidR="006B3DC0" w:rsidRPr="00673B80" w:rsidRDefault="006B3DC0" w:rsidP="00F07C8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79191FE1" w14:textId="77777777" w:rsidR="006B3DC0" w:rsidRPr="00673B80" w:rsidRDefault="006B3DC0" w:rsidP="00F07C8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</w:tcPr>
          <w:p w14:paraId="283E22DA" w14:textId="77777777" w:rsidR="006B3DC0" w:rsidRPr="00673B80" w:rsidRDefault="006B3DC0" w:rsidP="00F07C8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2CBC33C" w14:textId="77777777" w:rsidR="006B3DC0" w:rsidRPr="00673B80" w:rsidRDefault="006B3DC0" w:rsidP="00F07C88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B3DC0" w14:paraId="21883B1D" w14:textId="77777777" w:rsidTr="00CD16CA">
        <w:tc>
          <w:tcPr>
            <w:tcW w:w="716" w:type="dxa"/>
          </w:tcPr>
          <w:p w14:paraId="2BDF6882" w14:textId="503D1BFC" w:rsidR="006B3DC0" w:rsidRPr="005C446D" w:rsidRDefault="006B3DC0" w:rsidP="00F07C88">
            <w:pPr>
              <w:jc w:val="both"/>
              <w:rPr>
                <w:rFonts w:ascii="Arial" w:eastAsia="Arial" w:hAnsi="Arial" w:cs="Arial"/>
              </w:rPr>
            </w:pPr>
            <w:r w:rsidRPr="005C446D">
              <w:rPr>
                <w:rFonts w:ascii="Arial" w:eastAsia="Arial" w:hAnsi="Arial" w:cs="Arial"/>
              </w:rPr>
              <w:t>6.</w:t>
            </w:r>
            <w:r>
              <w:rPr>
                <w:rFonts w:ascii="Arial" w:eastAsia="Arial" w:hAnsi="Arial" w:cs="Arial"/>
              </w:rPr>
              <w:t>3</w:t>
            </w:r>
            <w:r w:rsidRPr="005C446D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382" w:type="dxa"/>
          </w:tcPr>
          <w:p w14:paraId="34B920AA" w14:textId="55D0DCF9" w:rsidR="006B3DC0" w:rsidRPr="007C2832" w:rsidRDefault="006B3DC0" w:rsidP="00F07C88">
            <w:pPr>
              <w:rPr>
                <w:rFonts w:ascii="Arial" w:eastAsia="Arial" w:hAnsi="Arial" w:cs="Arial"/>
              </w:rPr>
            </w:pPr>
            <w:r w:rsidRPr="007C2832">
              <w:rPr>
                <w:rFonts w:ascii="Arial" w:eastAsia="Arial" w:hAnsi="Arial" w:cs="Arial"/>
              </w:rPr>
              <w:t>Vypracování plánu společných zařízení</w:t>
            </w:r>
          </w:p>
        </w:tc>
        <w:tc>
          <w:tcPr>
            <w:tcW w:w="633" w:type="dxa"/>
            <w:vAlign w:val="center"/>
          </w:tcPr>
          <w:p w14:paraId="3D26E0A4" w14:textId="56587447" w:rsidR="006B3DC0" w:rsidRPr="005C446D" w:rsidRDefault="006B3DC0" w:rsidP="00F07C8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vAlign w:val="center"/>
          </w:tcPr>
          <w:p w14:paraId="1784C6FA" w14:textId="5D871FF1" w:rsidR="006B3DC0" w:rsidRPr="005C446D" w:rsidRDefault="00640FDF" w:rsidP="00F07C8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03" w:type="dxa"/>
            <w:vAlign w:val="center"/>
          </w:tcPr>
          <w:p w14:paraId="26EF424A" w14:textId="323A9E45" w:rsidR="006B3DC0" w:rsidRPr="005C446D" w:rsidRDefault="006B3DC0" w:rsidP="00F07C8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710</w:t>
            </w:r>
          </w:p>
        </w:tc>
        <w:tc>
          <w:tcPr>
            <w:tcW w:w="1417" w:type="dxa"/>
            <w:vAlign w:val="center"/>
          </w:tcPr>
          <w:p w14:paraId="43CEE541" w14:textId="0ECCF9AB" w:rsidR="006B3DC0" w:rsidRPr="005C446D" w:rsidRDefault="006B3DC0" w:rsidP="00F07C8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710</w:t>
            </w:r>
          </w:p>
        </w:tc>
      </w:tr>
      <w:tr w:rsidR="006B3DC0" w14:paraId="14C94087" w14:textId="77777777" w:rsidTr="00CD16CA">
        <w:tc>
          <w:tcPr>
            <w:tcW w:w="716" w:type="dxa"/>
            <w:tcBorders>
              <w:bottom w:val="single" w:sz="4" w:space="0" w:color="auto"/>
            </w:tcBorders>
          </w:tcPr>
          <w:p w14:paraId="4578FCD3" w14:textId="7FA59B52" w:rsidR="006B3DC0" w:rsidRPr="005C446D" w:rsidRDefault="006B3DC0" w:rsidP="00F07C8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4D88082A" w14:textId="463240D5" w:rsidR="006B3DC0" w:rsidRPr="005C446D" w:rsidRDefault="006B3DC0" w:rsidP="00F07C88">
            <w:pPr>
              <w:rPr>
                <w:rFonts w:ascii="Arial" w:hAnsi="Arial" w:cs="Arial"/>
              </w:rPr>
            </w:pPr>
            <w:r w:rsidRPr="00914153">
              <w:rPr>
                <w:rFonts w:ascii="Arial" w:eastAsia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6AE011B" w14:textId="17F5F381" w:rsidR="006B3DC0" w:rsidRPr="005C446D" w:rsidRDefault="006B3DC0" w:rsidP="00F07C8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0C6D5E73" w14:textId="25C4E551" w:rsidR="006B3DC0" w:rsidRPr="005C446D" w:rsidRDefault="00640FDF" w:rsidP="00F07C8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09BDA464" w14:textId="4B52AEA6" w:rsidR="006B3DC0" w:rsidRPr="005C446D" w:rsidRDefault="006B3DC0" w:rsidP="00F07C8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5847DA" w14:textId="2B71AC0E" w:rsidR="006B3DC0" w:rsidRPr="005C446D" w:rsidRDefault="006B3DC0" w:rsidP="00F07C8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800</w:t>
            </w:r>
          </w:p>
        </w:tc>
      </w:tr>
      <w:tr w:rsidR="006B3DC0" w14:paraId="6705FF5F" w14:textId="77777777" w:rsidTr="00CD16CA">
        <w:tc>
          <w:tcPr>
            <w:tcW w:w="716" w:type="dxa"/>
            <w:shd w:val="clear" w:color="auto" w:fill="D9D9D9" w:themeFill="background1" w:themeFillShade="D9"/>
          </w:tcPr>
          <w:p w14:paraId="1CA180E3" w14:textId="02E8FE8A" w:rsidR="006B3DC0" w:rsidRPr="00914153" w:rsidRDefault="006B3DC0" w:rsidP="00F07C88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914153">
              <w:rPr>
                <w:rFonts w:ascii="Arial" w:eastAsia="Arial" w:hAnsi="Arial" w:cs="Arial"/>
                <w:b/>
                <w:bCs/>
              </w:rPr>
              <w:t>6.4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7ADA38D6" w14:textId="3FB1B079" w:rsidR="006B3DC0" w:rsidRPr="00914153" w:rsidRDefault="006B3DC0" w:rsidP="00914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4153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0C368AC" w14:textId="10ABBC94" w:rsidR="006B3DC0" w:rsidRPr="005C446D" w:rsidRDefault="006B3DC0" w:rsidP="00F07C8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03935CF0" w14:textId="1922557E" w:rsidR="006B3DC0" w:rsidRPr="005C446D" w:rsidRDefault="00640FDF" w:rsidP="00F07C8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73B4DDA8" w14:textId="414CCE1A" w:rsidR="006B3DC0" w:rsidRPr="005C446D" w:rsidRDefault="006B3DC0" w:rsidP="00F07C8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A87E66" w14:textId="667E8C4E" w:rsidR="006B3DC0" w:rsidRPr="005C446D" w:rsidRDefault="006B3DC0" w:rsidP="00F07C8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700</w:t>
            </w:r>
          </w:p>
        </w:tc>
      </w:tr>
    </w:tbl>
    <w:p w14:paraId="44D674EB" w14:textId="56C775C7" w:rsidR="00D509CB" w:rsidRDefault="00D509CB" w:rsidP="00D509CB"/>
    <w:p w14:paraId="283157FE" w14:textId="698E6671" w:rsidR="00821D22" w:rsidRDefault="00B11951" w:rsidP="00D509CB">
      <w:pPr>
        <w:rPr>
          <w:rFonts w:ascii="Arial" w:hAnsi="Arial" w:cs="Arial"/>
        </w:rPr>
      </w:pPr>
      <w:r>
        <w:rPr>
          <w:rFonts w:ascii="Arial" w:hAnsi="Arial" w:cs="Arial"/>
        </w:rPr>
        <w:t>Celková h</w:t>
      </w:r>
      <w:r w:rsidR="00821D22" w:rsidRPr="008B1614">
        <w:rPr>
          <w:rFonts w:ascii="Arial" w:hAnsi="Arial" w:cs="Arial"/>
        </w:rPr>
        <w:t xml:space="preserve">odnota změn činí </w:t>
      </w:r>
      <w:r w:rsidR="005410C2" w:rsidRPr="008B1614">
        <w:rPr>
          <w:rFonts w:ascii="Arial" w:hAnsi="Arial" w:cs="Arial"/>
        </w:rPr>
        <w:t>2 210</w:t>
      </w:r>
      <w:r w:rsidR="00821D22" w:rsidRPr="008B1614">
        <w:rPr>
          <w:rFonts w:ascii="Arial" w:hAnsi="Arial" w:cs="Arial"/>
        </w:rPr>
        <w:t xml:space="preserve"> Kč bez DPH, o tuto částku bude celková cena díla </w:t>
      </w:r>
      <w:r w:rsidR="005410C2" w:rsidRPr="008B1614">
        <w:rPr>
          <w:rFonts w:ascii="Arial" w:hAnsi="Arial" w:cs="Arial"/>
        </w:rPr>
        <w:t>navýšena</w:t>
      </w:r>
      <w:r w:rsidR="00821D22" w:rsidRPr="008B1614">
        <w:rPr>
          <w:rFonts w:ascii="Arial" w:hAnsi="Arial" w:cs="Arial"/>
        </w:rPr>
        <w:t xml:space="preserve">. </w:t>
      </w:r>
    </w:p>
    <w:p w14:paraId="6A840EC3" w14:textId="77777777" w:rsidR="008B1614" w:rsidRDefault="008B1614" w:rsidP="00D509CB">
      <w:pPr>
        <w:rPr>
          <w:rFonts w:ascii="Arial" w:hAnsi="Arial" w:cs="Arial"/>
        </w:rPr>
      </w:pPr>
    </w:p>
    <w:p w14:paraId="4B14C1E4" w14:textId="324C806B" w:rsidR="008B1614" w:rsidRDefault="008B1614" w:rsidP="008B1614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  <w:u w:val="single"/>
        </w:rPr>
      </w:pPr>
      <w:r w:rsidRPr="00A00A5C">
        <w:rPr>
          <w:rFonts w:ascii="Arial" w:hAnsi="Arial" w:cs="Arial"/>
          <w:b/>
          <w:bCs/>
          <w:u w:val="single"/>
        </w:rPr>
        <w:t>snížení počtu MJ</w:t>
      </w:r>
      <w:r w:rsidR="00857D6E" w:rsidRPr="00A00A5C">
        <w:rPr>
          <w:rFonts w:ascii="Arial" w:hAnsi="Arial" w:cs="Arial"/>
          <w:b/>
          <w:bCs/>
          <w:u w:val="single"/>
        </w:rPr>
        <w:t xml:space="preserve"> </w:t>
      </w:r>
      <w:r w:rsidR="00857D6E" w:rsidRPr="00A00A5C">
        <w:rPr>
          <w:rFonts w:ascii="Arial" w:hAnsi="Arial" w:cs="Arial"/>
          <w:u w:val="single"/>
        </w:rPr>
        <w:t>u dílčích částí</w:t>
      </w:r>
      <w:r w:rsidRPr="00A00A5C">
        <w:rPr>
          <w:rFonts w:ascii="Arial" w:hAnsi="Arial" w:cs="Arial"/>
          <w:u w:val="single"/>
        </w:rPr>
        <w:t>:</w:t>
      </w:r>
      <w:r w:rsidRPr="00A00A5C">
        <w:rPr>
          <w:rFonts w:ascii="Arial" w:hAnsi="Arial" w:cs="Arial"/>
          <w:b/>
          <w:bCs/>
          <w:u w:val="single"/>
        </w:rPr>
        <w:t xml:space="preserve"> </w:t>
      </w:r>
    </w:p>
    <w:p w14:paraId="007E6FF5" w14:textId="204BF08C" w:rsidR="00B11951" w:rsidRPr="00B11951" w:rsidRDefault="00B11951" w:rsidP="00B11951">
      <w:pPr>
        <w:pStyle w:val="Odstavecseseznamem"/>
        <w:numPr>
          <w:ilvl w:val="0"/>
          <w:numId w:val="29"/>
        </w:numPr>
        <w:ind w:left="1276" w:hanging="283"/>
        <w:rPr>
          <w:rFonts w:ascii="Arial" w:hAnsi="Arial" w:cs="Arial"/>
          <w:b/>
          <w:bCs/>
          <w:u w:val="single"/>
        </w:rPr>
      </w:pPr>
      <w:r w:rsidRPr="00CE19EA">
        <w:rPr>
          <w:rFonts w:ascii="Arial" w:eastAsia="Arial" w:hAnsi="Arial" w:cs="Arial"/>
        </w:rPr>
        <w:t>6.3.1 i) a)</w:t>
      </w:r>
      <w:r>
        <w:rPr>
          <w:rFonts w:ascii="Arial" w:eastAsia="Arial" w:hAnsi="Arial" w:cs="Arial"/>
        </w:rPr>
        <w:t xml:space="preserve"> </w:t>
      </w:r>
      <w:r w:rsidRPr="00CE19EA">
        <w:rPr>
          <w:rFonts w:ascii="Arial" w:eastAsia="Arial" w:hAnsi="Arial" w:cs="Arial"/>
        </w:rPr>
        <w:t>Výškopisné zaměření zájmového území</w:t>
      </w:r>
      <w:r>
        <w:rPr>
          <w:rFonts w:ascii="Arial" w:eastAsia="Arial" w:hAnsi="Arial" w:cs="Arial"/>
        </w:rPr>
        <w:t xml:space="preserve"> – původní počet </w:t>
      </w:r>
      <w:r w:rsidRPr="00B11951">
        <w:rPr>
          <w:rFonts w:ascii="Arial" w:eastAsia="Arial" w:hAnsi="Arial" w:cs="Arial"/>
          <w:b/>
          <w:bCs/>
        </w:rPr>
        <w:t>50 MJ</w:t>
      </w:r>
      <w:r>
        <w:rPr>
          <w:rFonts w:ascii="Arial" w:eastAsia="Arial" w:hAnsi="Arial" w:cs="Arial"/>
        </w:rPr>
        <w:t xml:space="preserve"> (ha) se mění na </w:t>
      </w:r>
      <w:r w:rsidRPr="00B11951">
        <w:rPr>
          <w:rFonts w:ascii="Arial" w:eastAsia="Arial" w:hAnsi="Arial" w:cs="Arial"/>
          <w:b/>
          <w:bCs/>
        </w:rPr>
        <w:t>4 MJ</w:t>
      </w:r>
    </w:p>
    <w:p w14:paraId="770120F9" w14:textId="31EA4C19" w:rsidR="00B11951" w:rsidRPr="00B11951" w:rsidRDefault="00B11951" w:rsidP="00B11951">
      <w:pPr>
        <w:pStyle w:val="Odstavecseseznamem"/>
        <w:numPr>
          <w:ilvl w:val="0"/>
          <w:numId w:val="29"/>
        </w:numPr>
        <w:ind w:left="1276" w:hanging="283"/>
        <w:rPr>
          <w:rFonts w:ascii="Arial" w:hAnsi="Arial" w:cs="Arial"/>
          <w:b/>
          <w:bCs/>
          <w:u w:val="single"/>
        </w:rPr>
      </w:pPr>
      <w:r w:rsidRPr="00CE19EA">
        <w:rPr>
          <w:rFonts w:ascii="Arial" w:eastAsia="Arial" w:hAnsi="Arial" w:cs="Arial"/>
        </w:rPr>
        <w:lastRenderedPageBreak/>
        <w:t>6.3.1 i) b)</w:t>
      </w:r>
      <w:r>
        <w:rPr>
          <w:rFonts w:ascii="Arial" w:eastAsia="Arial" w:hAnsi="Arial" w:cs="Arial"/>
        </w:rPr>
        <w:t xml:space="preserve"> </w:t>
      </w:r>
      <w:r w:rsidRPr="00CE19EA">
        <w:rPr>
          <w:rFonts w:ascii="Arial" w:eastAsia="Arial" w:hAnsi="Arial" w:cs="Arial"/>
        </w:rPr>
        <w:t>DTR liniových dopravních staveb PSZ pro stanovení plochy záboru půdy stavbami</w:t>
      </w:r>
      <w:r>
        <w:rPr>
          <w:rFonts w:ascii="Arial" w:eastAsia="Arial" w:hAnsi="Arial" w:cs="Arial"/>
        </w:rPr>
        <w:t xml:space="preserve"> – původní počet </w:t>
      </w:r>
      <w:r w:rsidRPr="00B11951">
        <w:rPr>
          <w:rFonts w:ascii="Arial" w:eastAsia="Arial" w:hAnsi="Arial" w:cs="Arial"/>
          <w:b/>
          <w:bCs/>
        </w:rPr>
        <w:t>136 MJ</w:t>
      </w:r>
      <w:r>
        <w:rPr>
          <w:rFonts w:ascii="Arial" w:eastAsia="Arial" w:hAnsi="Arial" w:cs="Arial"/>
        </w:rPr>
        <w:t xml:space="preserve"> (100 </w:t>
      </w:r>
      <w:proofErr w:type="spellStart"/>
      <w:r>
        <w:rPr>
          <w:rFonts w:ascii="Arial" w:eastAsia="Arial" w:hAnsi="Arial" w:cs="Arial"/>
        </w:rPr>
        <w:t>bm</w:t>
      </w:r>
      <w:proofErr w:type="spellEnd"/>
      <w:r>
        <w:rPr>
          <w:rFonts w:ascii="Arial" w:eastAsia="Arial" w:hAnsi="Arial" w:cs="Arial"/>
        </w:rPr>
        <w:t xml:space="preserve">) se mění na </w:t>
      </w:r>
      <w:r w:rsidRPr="00B11951">
        <w:rPr>
          <w:rFonts w:ascii="Arial" w:eastAsia="Arial" w:hAnsi="Arial" w:cs="Arial"/>
          <w:b/>
          <w:bCs/>
        </w:rPr>
        <w:t>14 MJ</w:t>
      </w:r>
    </w:p>
    <w:p w14:paraId="41D6E193" w14:textId="2D8D3525" w:rsidR="00B11951" w:rsidRPr="009E5013" w:rsidRDefault="00B11951" w:rsidP="00B11951">
      <w:pPr>
        <w:pStyle w:val="Odstavecseseznamem"/>
        <w:numPr>
          <w:ilvl w:val="0"/>
          <w:numId w:val="29"/>
        </w:numPr>
        <w:ind w:left="1276" w:hanging="283"/>
        <w:rPr>
          <w:rFonts w:ascii="Arial" w:hAnsi="Arial" w:cs="Arial"/>
          <w:b/>
          <w:bCs/>
          <w:u w:val="single"/>
        </w:rPr>
      </w:pPr>
      <w:r w:rsidRPr="00CE19EA">
        <w:rPr>
          <w:rFonts w:ascii="Arial" w:eastAsia="Arial" w:hAnsi="Arial" w:cs="Arial"/>
        </w:rPr>
        <w:t>6.3.1 i) b)</w:t>
      </w:r>
      <w:r>
        <w:rPr>
          <w:rFonts w:ascii="Arial" w:eastAsia="Arial" w:hAnsi="Arial" w:cs="Arial"/>
        </w:rPr>
        <w:t xml:space="preserve"> </w:t>
      </w:r>
      <w:r w:rsidRPr="00CE19EA">
        <w:rPr>
          <w:rFonts w:ascii="Arial" w:eastAsia="Arial" w:hAnsi="Arial" w:cs="Arial"/>
        </w:rPr>
        <w:t>DTR liniových vodohospodářských a protierozních staveb PSZ pro stanovení plochy záboru půdy stavbami</w:t>
      </w:r>
      <w:r>
        <w:rPr>
          <w:rFonts w:ascii="Arial" w:eastAsia="Arial" w:hAnsi="Arial" w:cs="Arial"/>
        </w:rPr>
        <w:t xml:space="preserve"> – původní počet </w:t>
      </w:r>
      <w:r w:rsidR="009E5013" w:rsidRPr="009E5013">
        <w:rPr>
          <w:rFonts w:ascii="Arial" w:eastAsia="Arial" w:hAnsi="Arial" w:cs="Arial"/>
          <w:b/>
          <w:bCs/>
        </w:rPr>
        <w:t>20 MJ</w:t>
      </w:r>
      <w:r w:rsidR="009E5013">
        <w:rPr>
          <w:rFonts w:ascii="Arial" w:eastAsia="Arial" w:hAnsi="Arial" w:cs="Arial"/>
        </w:rPr>
        <w:t xml:space="preserve"> (100 </w:t>
      </w:r>
      <w:proofErr w:type="spellStart"/>
      <w:r w:rsidR="009E5013">
        <w:rPr>
          <w:rFonts w:ascii="Arial" w:eastAsia="Arial" w:hAnsi="Arial" w:cs="Arial"/>
        </w:rPr>
        <w:t>bm</w:t>
      </w:r>
      <w:proofErr w:type="spellEnd"/>
      <w:r w:rsidR="009E5013">
        <w:rPr>
          <w:rFonts w:ascii="Arial" w:eastAsia="Arial" w:hAnsi="Arial" w:cs="Arial"/>
        </w:rPr>
        <w:t xml:space="preserve">) se mění na </w:t>
      </w:r>
      <w:r w:rsidR="009E5013" w:rsidRPr="009E5013">
        <w:rPr>
          <w:rFonts w:ascii="Arial" w:eastAsia="Arial" w:hAnsi="Arial" w:cs="Arial"/>
          <w:b/>
          <w:bCs/>
        </w:rPr>
        <w:t>5 MJ</w:t>
      </w:r>
    </w:p>
    <w:p w14:paraId="2167983B" w14:textId="148F857A" w:rsidR="00E26872" w:rsidRPr="00431D07" w:rsidRDefault="009E5013" w:rsidP="00B619CF">
      <w:pPr>
        <w:pStyle w:val="Odstavecseseznamem"/>
        <w:numPr>
          <w:ilvl w:val="0"/>
          <w:numId w:val="29"/>
        </w:numPr>
        <w:ind w:left="1276" w:hanging="283"/>
        <w:rPr>
          <w:rFonts w:ascii="Arial" w:hAnsi="Arial" w:cs="Arial"/>
          <w:b/>
          <w:bCs/>
          <w:u w:val="single"/>
        </w:rPr>
      </w:pPr>
      <w:r w:rsidRPr="00431D07">
        <w:rPr>
          <w:rFonts w:ascii="Arial" w:eastAsia="Arial" w:hAnsi="Arial" w:cs="Arial"/>
        </w:rPr>
        <w:t xml:space="preserve">6.3.1 i) c) DTR vodohospodářských staveb PSZ – původní počet </w:t>
      </w:r>
      <w:r w:rsidRPr="00431D07">
        <w:rPr>
          <w:rFonts w:ascii="Arial" w:eastAsia="Arial" w:hAnsi="Arial" w:cs="Arial"/>
          <w:b/>
          <w:bCs/>
        </w:rPr>
        <w:t>7 MJ</w:t>
      </w:r>
      <w:r w:rsidRPr="00431D07">
        <w:rPr>
          <w:rFonts w:ascii="Arial" w:eastAsia="Arial" w:hAnsi="Arial" w:cs="Arial"/>
        </w:rPr>
        <w:t xml:space="preserve"> (ks) se mění na </w:t>
      </w:r>
      <w:r w:rsidRPr="00431D07">
        <w:rPr>
          <w:rFonts w:ascii="Arial" w:eastAsia="Arial" w:hAnsi="Arial" w:cs="Arial"/>
          <w:b/>
          <w:bCs/>
        </w:rPr>
        <w:t>0 MJ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17"/>
        <w:gridCol w:w="4381"/>
        <w:gridCol w:w="640"/>
        <w:gridCol w:w="1203"/>
        <w:gridCol w:w="1276"/>
        <w:gridCol w:w="1417"/>
      </w:tblGrid>
      <w:tr w:rsidR="00CD16CA" w14:paraId="50EF810A" w14:textId="77777777" w:rsidTr="00CD16CA">
        <w:trPr>
          <w:trHeight w:val="916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23A103" w14:textId="77777777" w:rsidR="00CD16CA" w:rsidRPr="004D5928" w:rsidRDefault="00CD16CA" w:rsidP="007705B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E4CC2D" w14:textId="77777777" w:rsidR="00CD16CA" w:rsidRPr="004D5928" w:rsidRDefault="00CD16CA" w:rsidP="007705BB">
            <w:pPr>
              <w:rPr>
                <w:rFonts w:ascii="Arial" w:eastAsia="Arial" w:hAnsi="Arial" w:cs="Arial"/>
                <w:b/>
                <w:bCs/>
              </w:rPr>
            </w:pPr>
          </w:p>
          <w:p w14:paraId="2C79BD41" w14:textId="156439C5" w:rsidR="00CD16CA" w:rsidRPr="004D5928" w:rsidRDefault="00CD16CA" w:rsidP="007705BB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5E3776" w14:textId="77777777" w:rsidR="00CD16CA" w:rsidRPr="004D5928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A828356" w14:textId="77777777" w:rsidR="00CD16CA" w:rsidRPr="004D5928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F52913" w14:textId="530F7B88" w:rsidR="00CD16CA" w:rsidRPr="004D5928" w:rsidRDefault="00AA09F5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="00CD16CA" w:rsidRPr="004D5928">
              <w:rPr>
                <w:rFonts w:ascii="Arial" w:eastAsia="Arial" w:hAnsi="Arial" w:cs="Arial"/>
                <w:b/>
                <w:bCs/>
              </w:rPr>
              <w:t xml:space="preserve"> počt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 w:rsidR="00CD16CA" w:rsidRPr="004D5928">
              <w:rPr>
                <w:rFonts w:ascii="Arial" w:eastAsia="Arial" w:hAnsi="Arial" w:cs="Arial"/>
                <w:b/>
                <w:bCs/>
              </w:rPr>
              <w:t xml:space="preserve"> 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50A51F" w14:textId="77777777" w:rsidR="00CD16CA" w:rsidRPr="004D5928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DB739F" w14:textId="1704274C" w:rsidR="00CD16CA" w:rsidRPr="004D5928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ceny v Kč bez DPH </w:t>
            </w:r>
          </w:p>
        </w:tc>
      </w:tr>
      <w:tr w:rsidR="00CD16CA" w14:paraId="25DBB8A4" w14:textId="77777777" w:rsidTr="00CD16CA">
        <w:trPr>
          <w:trHeight w:val="359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0F36343A" w14:textId="77777777" w:rsidR="00CD16CA" w:rsidRPr="004D5928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D59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6.3.</w:t>
            </w:r>
          </w:p>
        </w:tc>
        <w:tc>
          <w:tcPr>
            <w:tcW w:w="4381" w:type="dxa"/>
            <w:shd w:val="clear" w:color="auto" w:fill="D9D9D9" w:themeFill="background1" w:themeFillShade="D9"/>
            <w:vAlign w:val="center"/>
          </w:tcPr>
          <w:p w14:paraId="2D7E5583" w14:textId="77777777" w:rsidR="00CD16CA" w:rsidRPr="004D5928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Návrhové práce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62A33E28" w14:textId="77777777" w:rsidR="00CD16CA" w:rsidRPr="00673B80" w:rsidRDefault="00CD16CA" w:rsidP="007705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2B946DE2" w14:textId="77777777" w:rsidR="00CD16CA" w:rsidRPr="00673B80" w:rsidRDefault="00CD16CA" w:rsidP="007705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5CF67D6" w14:textId="77777777" w:rsidR="00CD16CA" w:rsidRPr="00673B80" w:rsidRDefault="00CD16CA" w:rsidP="007705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0CF256F" w14:textId="77777777" w:rsidR="00CD16CA" w:rsidRPr="00673B80" w:rsidRDefault="00CD16CA" w:rsidP="007705B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D16CA" w14:paraId="11D374CD" w14:textId="77777777" w:rsidTr="00CD16CA">
        <w:tc>
          <w:tcPr>
            <w:tcW w:w="717" w:type="dxa"/>
          </w:tcPr>
          <w:p w14:paraId="79473096" w14:textId="22A8147A" w:rsidR="00CD16CA" w:rsidRPr="005C446D" w:rsidRDefault="00CD16CA" w:rsidP="007705BB">
            <w:pPr>
              <w:jc w:val="both"/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6.3.1 i) a)</w:t>
            </w:r>
          </w:p>
        </w:tc>
        <w:tc>
          <w:tcPr>
            <w:tcW w:w="4381" w:type="dxa"/>
          </w:tcPr>
          <w:p w14:paraId="3B1FDAFF" w14:textId="4893185C" w:rsidR="00CD16CA" w:rsidRPr="007C2832" w:rsidRDefault="00CD16CA" w:rsidP="007705BB">
            <w:pPr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Výškopisné zaměření zájmového území</w:t>
            </w:r>
          </w:p>
        </w:tc>
        <w:tc>
          <w:tcPr>
            <w:tcW w:w="640" w:type="dxa"/>
            <w:vAlign w:val="center"/>
          </w:tcPr>
          <w:p w14:paraId="50214B77" w14:textId="77777777" w:rsidR="00CD16CA" w:rsidRPr="005C446D" w:rsidRDefault="00CD16CA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203" w:type="dxa"/>
            <w:vAlign w:val="center"/>
          </w:tcPr>
          <w:p w14:paraId="2859047A" w14:textId="52964252" w:rsidR="00CD16CA" w:rsidRPr="005C446D" w:rsidRDefault="00AA09F5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1276" w:type="dxa"/>
            <w:vAlign w:val="center"/>
          </w:tcPr>
          <w:p w14:paraId="71167050" w14:textId="4A081B4E" w:rsidR="00CD16CA" w:rsidRPr="005C446D" w:rsidRDefault="00CD16CA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2 500</w:t>
            </w:r>
          </w:p>
        </w:tc>
        <w:tc>
          <w:tcPr>
            <w:tcW w:w="1417" w:type="dxa"/>
            <w:vAlign w:val="center"/>
          </w:tcPr>
          <w:p w14:paraId="04DF9E95" w14:textId="606697D1" w:rsidR="00CD16CA" w:rsidRPr="005C446D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115 000</w:t>
            </w:r>
          </w:p>
        </w:tc>
      </w:tr>
      <w:tr w:rsidR="00CD16CA" w14:paraId="539CEA67" w14:textId="77777777" w:rsidTr="00CD16CA">
        <w:tc>
          <w:tcPr>
            <w:tcW w:w="717" w:type="dxa"/>
            <w:tcBorders>
              <w:bottom w:val="single" w:sz="4" w:space="0" w:color="auto"/>
            </w:tcBorders>
          </w:tcPr>
          <w:p w14:paraId="78349890" w14:textId="08669A61" w:rsidR="00CD16CA" w:rsidRPr="005C446D" w:rsidRDefault="00CD16CA" w:rsidP="007705BB">
            <w:pPr>
              <w:jc w:val="both"/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4381" w:type="dxa"/>
            <w:tcBorders>
              <w:bottom w:val="single" w:sz="4" w:space="0" w:color="auto"/>
            </w:tcBorders>
          </w:tcPr>
          <w:p w14:paraId="14CDC014" w14:textId="7596C34F" w:rsidR="00CD16CA" w:rsidRPr="00CE19EA" w:rsidRDefault="00CD16CA" w:rsidP="007705BB">
            <w:pPr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DTR liniových dopravních staveb PSZ pro stanovení plochy záboru půdy stavbami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44E8B2B" w14:textId="0720E2AE" w:rsidR="00CD16CA" w:rsidRPr="005C446D" w:rsidRDefault="00CD16CA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443DCA89" w14:textId="6C32792F" w:rsidR="00CD16CA" w:rsidRPr="005C446D" w:rsidRDefault="00841069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220B69" w14:textId="6417A29D" w:rsidR="00CD16CA" w:rsidRPr="005C446D" w:rsidRDefault="00CD16CA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1CB01B" w14:textId="167037B8" w:rsidR="00CD16CA" w:rsidRPr="005C446D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73 200</w:t>
            </w:r>
          </w:p>
        </w:tc>
      </w:tr>
      <w:tr w:rsidR="00CD16CA" w14:paraId="6D0154DA" w14:textId="77777777" w:rsidTr="00CD16CA">
        <w:tc>
          <w:tcPr>
            <w:tcW w:w="717" w:type="dxa"/>
            <w:tcBorders>
              <w:bottom w:val="single" w:sz="4" w:space="0" w:color="auto"/>
            </w:tcBorders>
          </w:tcPr>
          <w:p w14:paraId="19A370B3" w14:textId="1DBD6A73" w:rsidR="00CD16CA" w:rsidRDefault="00CD16CA" w:rsidP="007705BB">
            <w:pPr>
              <w:jc w:val="both"/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4381" w:type="dxa"/>
            <w:tcBorders>
              <w:bottom w:val="single" w:sz="4" w:space="0" w:color="auto"/>
            </w:tcBorders>
          </w:tcPr>
          <w:p w14:paraId="2E274AE3" w14:textId="74BB7C30" w:rsidR="00CD16CA" w:rsidRPr="00914153" w:rsidRDefault="00CD16CA" w:rsidP="007705BB">
            <w:pPr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DTR liniových vodohospodářských a protierozních staveb PSZ pro stanovení plochy záboru půdy stavbami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470A15C" w14:textId="380A1426" w:rsidR="00CD16CA" w:rsidRDefault="00CD16CA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5FEB176B" w14:textId="66A89D72" w:rsidR="00CD16CA" w:rsidRDefault="00841069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CA8961" w14:textId="10367AD4" w:rsidR="00CD16CA" w:rsidRDefault="00CD16CA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053CFC" w14:textId="5BAE899D" w:rsidR="00CD16CA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16 500</w:t>
            </w:r>
          </w:p>
        </w:tc>
      </w:tr>
      <w:tr w:rsidR="00CD16CA" w14:paraId="173112AB" w14:textId="77777777" w:rsidTr="00CD16CA">
        <w:tc>
          <w:tcPr>
            <w:tcW w:w="717" w:type="dxa"/>
            <w:tcBorders>
              <w:bottom w:val="single" w:sz="4" w:space="0" w:color="auto"/>
            </w:tcBorders>
          </w:tcPr>
          <w:p w14:paraId="47184DD2" w14:textId="31035F2B" w:rsidR="00CD16CA" w:rsidRDefault="00CD16CA" w:rsidP="007705BB">
            <w:pPr>
              <w:jc w:val="both"/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4381" w:type="dxa"/>
            <w:tcBorders>
              <w:bottom w:val="single" w:sz="4" w:space="0" w:color="auto"/>
            </w:tcBorders>
          </w:tcPr>
          <w:p w14:paraId="0A6E3DA5" w14:textId="7E577816" w:rsidR="00CD16CA" w:rsidRPr="00914153" w:rsidRDefault="00CD16CA" w:rsidP="007705BB">
            <w:pPr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DTR vodohospodářských staveb PSZ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23F99F0" w14:textId="6FEA24F8" w:rsidR="00CD16CA" w:rsidRDefault="00CD16CA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1D017278" w14:textId="767ECB06" w:rsidR="00CD16CA" w:rsidRDefault="00E328BC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8227D38" w14:textId="50435041" w:rsidR="00CD16CA" w:rsidRDefault="00CD16CA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2AB366" w14:textId="4CDC4E0A" w:rsidR="00CD16CA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84 000</w:t>
            </w:r>
          </w:p>
        </w:tc>
      </w:tr>
    </w:tbl>
    <w:p w14:paraId="6E0579EE" w14:textId="77777777" w:rsidR="00E26872" w:rsidRDefault="00E26872" w:rsidP="00E26872">
      <w:pPr>
        <w:rPr>
          <w:rFonts w:ascii="Arial" w:hAnsi="Arial" w:cs="Arial"/>
          <w:b/>
          <w:bCs/>
          <w:u w:val="single"/>
        </w:rPr>
      </w:pPr>
    </w:p>
    <w:p w14:paraId="388EA6B9" w14:textId="0B346028" w:rsidR="00BB1455" w:rsidRDefault="009B7386" w:rsidP="00E26872">
      <w:pPr>
        <w:rPr>
          <w:rFonts w:ascii="Arial" w:hAnsi="Arial" w:cs="Arial"/>
        </w:rPr>
      </w:pPr>
      <w:r>
        <w:rPr>
          <w:rFonts w:ascii="Arial" w:hAnsi="Arial" w:cs="Arial"/>
        </w:rPr>
        <w:t>Celková h</w:t>
      </w:r>
      <w:r w:rsidR="00BB1455" w:rsidRPr="008B1614">
        <w:rPr>
          <w:rFonts w:ascii="Arial" w:hAnsi="Arial" w:cs="Arial"/>
        </w:rPr>
        <w:t xml:space="preserve">odnota změn činí </w:t>
      </w:r>
      <w:r w:rsidR="00BB1455">
        <w:rPr>
          <w:rFonts w:ascii="Arial" w:hAnsi="Arial" w:cs="Arial"/>
        </w:rPr>
        <w:t>288 700</w:t>
      </w:r>
      <w:r w:rsidR="00BB1455" w:rsidRPr="008B1614">
        <w:rPr>
          <w:rFonts w:ascii="Arial" w:hAnsi="Arial" w:cs="Arial"/>
        </w:rPr>
        <w:t xml:space="preserve"> Kč bez DPH, o tuto částku bude celková cena díla </w:t>
      </w:r>
      <w:r w:rsidR="00BB1455">
        <w:rPr>
          <w:rFonts w:ascii="Arial" w:hAnsi="Arial" w:cs="Arial"/>
        </w:rPr>
        <w:t>snížena</w:t>
      </w:r>
      <w:r w:rsidR="00BB1455" w:rsidRPr="008B1614">
        <w:rPr>
          <w:rFonts w:ascii="Arial" w:hAnsi="Arial" w:cs="Arial"/>
        </w:rPr>
        <w:t>.</w:t>
      </w:r>
    </w:p>
    <w:p w14:paraId="4A868E0A" w14:textId="77777777" w:rsidR="00035DF2" w:rsidRDefault="00035DF2" w:rsidP="0005026A">
      <w:pPr>
        <w:spacing w:after="0"/>
        <w:rPr>
          <w:rFonts w:ascii="Arial" w:hAnsi="Arial" w:cs="Arial"/>
          <w:b/>
          <w:bCs/>
        </w:rPr>
      </w:pPr>
    </w:p>
    <w:p w14:paraId="562CBF0B" w14:textId="1D907934" w:rsidR="00AA3F7B" w:rsidRDefault="00AA3F7B" w:rsidP="00E26872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všech změnách </w:t>
      </w:r>
      <w:proofErr w:type="gramStart"/>
      <w:r w:rsidRPr="00AA3F7B">
        <w:rPr>
          <w:rFonts w:ascii="Arial" w:hAnsi="Arial" w:cs="Arial"/>
          <w:b/>
          <w:bCs/>
        </w:rPr>
        <w:t>sníží</w:t>
      </w:r>
      <w:proofErr w:type="gramEnd"/>
      <w:r w:rsidRPr="00AA3F7B">
        <w:rPr>
          <w:rFonts w:ascii="Arial" w:hAnsi="Arial" w:cs="Arial"/>
          <w:b/>
          <w:bCs/>
        </w:rPr>
        <w:t xml:space="preserve"> o 286 490 Kč bez DPH.</w:t>
      </w:r>
    </w:p>
    <w:p w14:paraId="5F9EC8C1" w14:textId="77777777" w:rsidR="00035DF2" w:rsidRDefault="00035DF2" w:rsidP="0005026A">
      <w:pPr>
        <w:spacing w:after="0"/>
        <w:rPr>
          <w:rFonts w:ascii="Arial" w:hAnsi="Arial" w:cs="Arial"/>
          <w:lang w:val="fr-FR"/>
        </w:rPr>
      </w:pPr>
    </w:p>
    <w:p w14:paraId="0B030A8A" w14:textId="270400C8" w:rsidR="00035DF2" w:rsidRDefault="00035DF2" w:rsidP="00E26872">
      <w:pPr>
        <w:rPr>
          <w:rFonts w:ascii="Arial" w:hAnsi="Arial" w:cs="Arial"/>
          <w:b/>
          <w:bCs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0209D007" w14:textId="77777777" w:rsidR="00035DF2" w:rsidRDefault="00035DF2" w:rsidP="0005026A">
      <w:pPr>
        <w:spacing w:after="0"/>
        <w:rPr>
          <w:rFonts w:ascii="Arial" w:hAnsi="Arial" w:cs="Arial"/>
          <w:b/>
          <w:bCs/>
        </w:rPr>
      </w:pPr>
    </w:p>
    <w:p w14:paraId="026F91E0" w14:textId="77777777" w:rsidR="00035DF2" w:rsidRDefault="00035DF2" w:rsidP="00035DF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Odůvodnění:</w:t>
      </w:r>
    </w:p>
    <w:p w14:paraId="42252AB9" w14:textId="09914358" w:rsidR="007C4CA5" w:rsidRPr="000F39B3" w:rsidRDefault="007C4CA5" w:rsidP="007C4CA5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Ke změně počtu měrných jednotek došlo na základě </w:t>
      </w:r>
      <w:r w:rsidR="00D52E4C">
        <w:rPr>
          <w:rFonts w:ascii="Arial" w:hAnsi="Arial" w:cs="Arial"/>
          <w:snapToGrid w:val="0"/>
        </w:rPr>
        <w:t xml:space="preserve">šetření průběhu hranic obvodu </w:t>
      </w:r>
      <w:proofErr w:type="spellStart"/>
      <w:r w:rsidR="00D52E4C">
        <w:rPr>
          <w:rFonts w:ascii="Arial" w:hAnsi="Arial" w:cs="Arial"/>
          <w:snapToGrid w:val="0"/>
        </w:rPr>
        <w:t>KoPÚ</w:t>
      </w:r>
      <w:proofErr w:type="spellEnd"/>
      <w:r w:rsidR="00D52E4C">
        <w:rPr>
          <w:rFonts w:ascii="Arial" w:hAnsi="Arial" w:cs="Arial"/>
          <w:snapToGrid w:val="0"/>
        </w:rPr>
        <w:t xml:space="preserve"> v</w:t>
      </w:r>
      <w:r w:rsidR="003028B2">
        <w:rPr>
          <w:rFonts w:ascii="Arial" w:hAnsi="Arial" w:cs="Arial"/>
          <w:snapToGrid w:val="0"/>
        </w:rPr>
        <w:t> </w:t>
      </w:r>
      <w:r w:rsidR="00D52E4C">
        <w:rPr>
          <w:rFonts w:ascii="Arial" w:hAnsi="Arial" w:cs="Arial"/>
          <w:snapToGrid w:val="0"/>
        </w:rPr>
        <w:t>terénu</w:t>
      </w:r>
      <w:r w:rsidR="003028B2">
        <w:rPr>
          <w:rFonts w:ascii="Arial" w:hAnsi="Arial" w:cs="Arial"/>
          <w:snapToGrid w:val="0"/>
        </w:rPr>
        <w:t xml:space="preserve"> a dále na základě výškopisného zaměření zájmového území a skutečného počtu </w:t>
      </w:r>
      <w:r w:rsidR="00C873A5">
        <w:rPr>
          <w:rFonts w:ascii="Arial" w:hAnsi="Arial" w:cs="Arial"/>
          <w:snapToGrid w:val="0"/>
        </w:rPr>
        <w:t xml:space="preserve">a délky prvků PSZ zpracovaných do DTR. </w:t>
      </w:r>
    </w:p>
    <w:p w14:paraId="23143BA3" w14:textId="77777777" w:rsidR="00DF49A6" w:rsidRDefault="00DF49A6" w:rsidP="004F50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14:paraId="4D0E9A30" w14:textId="27C1567B" w:rsidR="00DF49A6" w:rsidRPr="006016E2" w:rsidRDefault="00862B57" w:rsidP="00DF49A6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2 je dále </w:t>
      </w:r>
      <w:r w:rsidRPr="00862B57">
        <w:rPr>
          <w:rFonts w:ascii="Arial" w:hAnsi="Arial" w:cs="Arial"/>
          <w:b/>
          <w:bCs/>
        </w:rPr>
        <w:t>z</w:t>
      </w:r>
      <w:r w:rsidR="00DF49A6">
        <w:rPr>
          <w:rFonts w:ascii="Arial" w:hAnsi="Arial" w:cs="Arial"/>
          <w:b/>
          <w:bCs/>
        </w:rPr>
        <w:t>měna termínu</w:t>
      </w:r>
      <w:r w:rsidR="00A613E0">
        <w:rPr>
          <w:rFonts w:ascii="Arial" w:hAnsi="Arial" w:cs="Arial"/>
          <w:b/>
          <w:bCs/>
        </w:rPr>
        <w:t xml:space="preserve"> předání k akceptačnímu řízení</w:t>
      </w:r>
      <w:r w:rsidR="006016E2">
        <w:rPr>
          <w:rFonts w:ascii="Arial" w:hAnsi="Arial" w:cs="Arial"/>
          <w:b/>
          <w:bCs/>
        </w:rPr>
        <w:t xml:space="preserve">, </w:t>
      </w:r>
      <w:r w:rsidR="006016E2" w:rsidRPr="006016E2">
        <w:rPr>
          <w:rFonts w:ascii="Arial" w:hAnsi="Arial" w:cs="Arial"/>
        </w:rPr>
        <w:t>a to níže uvedených dílčích částí díla</w:t>
      </w:r>
      <w:r w:rsidR="006016E2">
        <w:rPr>
          <w:rFonts w:ascii="Arial" w:hAnsi="Arial" w:cs="Arial"/>
        </w:rPr>
        <w:t>:</w:t>
      </w:r>
    </w:p>
    <w:p w14:paraId="438B5401" w14:textId="77777777" w:rsidR="00DF49A6" w:rsidRDefault="00DF49A6" w:rsidP="00DF49A6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717"/>
        <w:gridCol w:w="5090"/>
        <w:gridCol w:w="1843"/>
        <w:gridCol w:w="1843"/>
      </w:tblGrid>
      <w:tr w:rsidR="000F39B3" w14:paraId="5848672B" w14:textId="77777777" w:rsidTr="008D469C">
        <w:trPr>
          <w:trHeight w:val="916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B1DFA" w14:textId="77777777" w:rsidR="000F39B3" w:rsidRPr="004D5928" w:rsidRDefault="000F39B3" w:rsidP="00764A1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03621" w14:textId="77777777" w:rsidR="000F39B3" w:rsidRPr="004D5928" w:rsidRDefault="000F39B3" w:rsidP="00764A1C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1DBC3" w14:textId="4C4361EF" w:rsidR="000F39B3" w:rsidRPr="004D5928" w:rsidRDefault="00172B21" w:rsidP="00764A1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Původní termín</w:t>
            </w:r>
            <w:r w:rsidR="000F39B3" w:rsidRPr="004D5928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8C3B2" w14:textId="05741A43" w:rsidR="000F39B3" w:rsidRPr="004D5928" w:rsidRDefault="00172B21" w:rsidP="00764A1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Nový termín</w:t>
            </w:r>
            <w:r w:rsidR="000F39B3" w:rsidRPr="004D5928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0F39B3" w14:paraId="39AECA02" w14:textId="77777777" w:rsidTr="000F39B3">
        <w:trPr>
          <w:trHeight w:val="359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6CAABEDA" w14:textId="77777777" w:rsidR="000F39B3" w:rsidRPr="004D5928" w:rsidRDefault="000F39B3" w:rsidP="00764A1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D59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6.3.</w:t>
            </w:r>
          </w:p>
        </w:tc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6D68900D" w14:textId="77777777" w:rsidR="000F39B3" w:rsidRPr="004D5928" w:rsidRDefault="000F39B3" w:rsidP="00764A1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Návrhové práce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3CAAC03" w14:textId="77777777" w:rsidR="000F39B3" w:rsidRPr="00673B80" w:rsidRDefault="000F39B3" w:rsidP="00764A1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135D810" w14:textId="77777777" w:rsidR="000F39B3" w:rsidRPr="00673B80" w:rsidRDefault="000F39B3" w:rsidP="00764A1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0619F" w14:paraId="54246E04" w14:textId="77777777" w:rsidTr="000F39B3">
        <w:tc>
          <w:tcPr>
            <w:tcW w:w="717" w:type="dxa"/>
          </w:tcPr>
          <w:p w14:paraId="7DFE32AC" w14:textId="65E36AC0" w:rsidR="0090619F" w:rsidRPr="00CE19EA" w:rsidRDefault="0090619F" w:rsidP="00764A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5090" w:type="dxa"/>
          </w:tcPr>
          <w:p w14:paraId="1BEAF87B" w14:textId="57E69A88" w:rsidR="0090619F" w:rsidRPr="00CE19EA" w:rsidRDefault="0090619F" w:rsidP="00764A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Vypracování plánu společných zařízení („PSZ“)</w:t>
            </w:r>
          </w:p>
        </w:tc>
        <w:tc>
          <w:tcPr>
            <w:tcW w:w="1843" w:type="dxa"/>
            <w:vAlign w:val="center"/>
          </w:tcPr>
          <w:p w14:paraId="204B543D" w14:textId="7637324A" w:rsidR="0090619F" w:rsidRDefault="00F11D46" w:rsidP="00764A1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30. 10. 2024</w:t>
            </w:r>
          </w:p>
        </w:tc>
        <w:tc>
          <w:tcPr>
            <w:tcW w:w="1843" w:type="dxa"/>
            <w:vAlign w:val="center"/>
          </w:tcPr>
          <w:p w14:paraId="04EB5B91" w14:textId="3F033A11" w:rsidR="0090619F" w:rsidRDefault="00F11D46" w:rsidP="00764A1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29. 11. 2024</w:t>
            </w:r>
          </w:p>
        </w:tc>
      </w:tr>
      <w:tr w:rsidR="000F39B3" w14:paraId="67A6D4B1" w14:textId="77777777" w:rsidTr="000F39B3">
        <w:tc>
          <w:tcPr>
            <w:tcW w:w="717" w:type="dxa"/>
          </w:tcPr>
          <w:p w14:paraId="018893A9" w14:textId="77777777" w:rsidR="000F39B3" w:rsidRPr="005C446D" w:rsidRDefault="000F39B3" w:rsidP="00764A1C">
            <w:pPr>
              <w:jc w:val="both"/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6.3.1 i) a)</w:t>
            </w:r>
          </w:p>
        </w:tc>
        <w:tc>
          <w:tcPr>
            <w:tcW w:w="5090" w:type="dxa"/>
          </w:tcPr>
          <w:p w14:paraId="6F956134" w14:textId="77777777" w:rsidR="000F39B3" w:rsidRPr="007C2832" w:rsidRDefault="000F39B3" w:rsidP="00764A1C">
            <w:pPr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Výškopisné zaměření zájmového území</w:t>
            </w:r>
          </w:p>
        </w:tc>
        <w:tc>
          <w:tcPr>
            <w:tcW w:w="1843" w:type="dxa"/>
            <w:vAlign w:val="center"/>
          </w:tcPr>
          <w:p w14:paraId="191832A5" w14:textId="6382E973" w:rsidR="000F39B3" w:rsidRPr="005C446D" w:rsidRDefault="00F11D46" w:rsidP="00764A1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30. 10. 2024</w:t>
            </w:r>
          </w:p>
        </w:tc>
        <w:tc>
          <w:tcPr>
            <w:tcW w:w="1843" w:type="dxa"/>
            <w:vAlign w:val="center"/>
          </w:tcPr>
          <w:p w14:paraId="505BAA73" w14:textId="497FBFA9" w:rsidR="000F39B3" w:rsidRPr="005C446D" w:rsidRDefault="00F11D46" w:rsidP="00764A1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29. 11. 2024</w:t>
            </w:r>
          </w:p>
        </w:tc>
      </w:tr>
      <w:tr w:rsidR="000F39B3" w14:paraId="04C92751" w14:textId="77777777" w:rsidTr="000F39B3">
        <w:tc>
          <w:tcPr>
            <w:tcW w:w="717" w:type="dxa"/>
            <w:tcBorders>
              <w:bottom w:val="single" w:sz="4" w:space="0" w:color="auto"/>
            </w:tcBorders>
          </w:tcPr>
          <w:p w14:paraId="063A7F1E" w14:textId="77777777" w:rsidR="000F39B3" w:rsidRPr="005C446D" w:rsidRDefault="000F39B3" w:rsidP="00764A1C">
            <w:pPr>
              <w:jc w:val="both"/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lastRenderedPageBreak/>
              <w:t>6.3.1 i) b)</w:t>
            </w:r>
          </w:p>
        </w:tc>
        <w:tc>
          <w:tcPr>
            <w:tcW w:w="5090" w:type="dxa"/>
            <w:tcBorders>
              <w:bottom w:val="single" w:sz="4" w:space="0" w:color="auto"/>
            </w:tcBorders>
          </w:tcPr>
          <w:p w14:paraId="0D2B5C32" w14:textId="77777777" w:rsidR="000F39B3" w:rsidRPr="00CE19EA" w:rsidRDefault="000F39B3" w:rsidP="00764A1C">
            <w:pPr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DTR liniových dopravních staveb PSZ pro stanovení plochy záboru půdy stavbami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F968EC" w14:textId="64A79AE6" w:rsidR="000F39B3" w:rsidRPr="005C446D" w:rsidRDefault="00F11D46" w:rsidP="00764A1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30. 10. 2024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73B30BB" w14:textId="1261BD0A" w:rsidR="000F39B3" w:rsidRPr="005C446D" w:rsidRDefault="00F11D46" w:rsidP="00764A1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29. 11. 2024</w:t>
            </w:r>
          </w:p>
        </w:tc>
      </w:tr>
      <w:tr w:rsidR="000F39B3" w14:paraId="2206CFEA" w14:textId="77777777" w:rsidTr="000F39B3">
        <w:tc>
          <w:tcPr>
            <w:tcW w:w="717" w:type="dxa"/>
            <w:tcBorders>
              <w:bottom w:val="single" w:sz="4" w:space="0" w:color="auto"/>
            </w:tcBorders>
          </w:tcPr>
          <w:p w14:paraId="33F5F670" w14:textId="77777777" w:rsidR="000F39B3" w:rsidRDefault="000F39B3" w:rsidP="00764A1C">
            <w:pPr>
              <w:jc w:val="both"/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90" w:type="dxa"/>
            <w:tcBorders>
              <w:bottom w:val="single" w:sz="4" w:space="0" w:color="auto"/>
            </w:tcBorders>
          </w:tcPr>
          <w:p w14:paraId="7DFC0060" w14:textId="77777777" w:rsidR="000F39B3" w:rsidRPr="00914153" w:rsidRDefault="000F39B3" w:rsidP="00764A1C">
            <w:pPr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DTR liniových vodohospodářských a protierozních staveb PSZ pro stanovení plochy záboru půdy stavbami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2F15D4" w14:textId="37AD3454" w:rsidR="000F39B3" w:rsidRDefault="00F11D46" w:rsidP="00764A1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30. 10. 2024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655F53" w14:textId="53076359" w:rsidR="000F39B3" w:rsidRDefault="00F11D46" w:rsidP="00764A1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29. 11. 2024</w:t>
            </w:r>
          </w:p>
        </w:tc>
      </w:tr>
      <w:tr w:rsidR="000F39B3" w14:paraId="5A24B83E" w14:textId="77777777" w:rsidTr="00D81742">
        <w:tc>
          <w:tcPr>
            <w:tcW w:w="717" w:type="dxa"/>
          </w:tcPr>
          <w:p w14:paraId="7A6318E6" w14:textId="77777777" w:rsidR="000F39B3" w:rsidRDefault="000F39B3" w:rsidP="00764A1C">
            <w:pPr>
              <w:jc w:val="both"/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90" w:type="dxa"/>
          </w:tcPr>
          <w:p w14:paraId="46BF280A" w14:textId="77777777" w:rsidR="000F39B3" w:rsidRPr="00914153" w:rsidRDefault="000F39B3" w:rsidP="00764A1C">
            <w:pPr>
              <w:rPr>
                <w:rFonts w:ascii="Arial" w:eastAsia="Arial" w:hAnsi="Arial" w:cs="Arial"/>
              </w:rPr>
            </w:pPr>
            <w:r w:rsidRPr="00CE19EA">
              <w:rPr>
                <w:rFonts w:ascii="Arial" w:eastAsia="Arial" w:hAnsi="Arial" w:cs="Arial"/>
              </w:rPr>
              <w:t>DTR vodohospodářských staveb PSZ</w:t>
            </w:r>
          </w:p>
        </w:tc>
        <w:tc>
          <w:tcPr>
            <w:tcW w:w="1843" w:type="dxa"/>
            <w:vAlign w:val="center"/>
          </w:tcPr>
          <w:p w14:paraId="366A7581" w14:textId="4FCA628B" w:rsidR="000F39B3" w:rsidRDefault="00F11D46" w:rsidP="00764A1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30. 10. 2024</w:t>
            </w:r>
          </w:p>
        </w:tc>
        <w:tc>
          <w:tcPr>
            <w:tcW w:w="1843" w:type="dxa"/>
            <w:vAlign w:val="center"/>
          </w:tcPr>
          <w:p w14:paraId="2D2AB313" w14:textId="75D24B75" w:rsidR="000F39B3" w:rsidRDefault="00F11D46" w:rsidP="00764A1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29. 11. 2024</w:t>
            </w:r>
          </w:p>
        </w:tc>
      </w:tr>
      <w:tr w:rsidR="00D81742" w14:paraId="2335F108" w14:textId="77777777" w:rsidTr="000F39B3">
        <w:tc>
          <w:tcPr>
            <w:tcW w:w="717" w:type="dxa"/>
            <w:tcBorders>
              <w:bottom w:val="single" w:sz="4" w:space="0" w:color="auto"/>
            </w:tcBorders>
          </w:tcPr>
          <w:p w14:paraId="6EF63AB7" w14:textId="7FFBBB1B" w:rsidR="00D81742" w:rsidRPr="00CE19EA" w:rsidRDefault="00D81742" w:rsidP="00764A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90" w:type="dxa"/>
            <w:tcBorders>
              <w:bottom w:val="single" w:sz="4" w:space="0" w:color="auto"/>
            </w:tcBorders>
          </w:tcPr>
          <w:p w14:paraId="773764E8" w14:textId="4FC775C6" w:rsidR="00D81742" w:rsidRPr="00CE19EA" w:rsidRDefault="00D81742" w:rsidP="00764A1C">
            <w:pPr>
              <w:rPr>
                <w:rFonts w:ascii="Arial" w:eastAsia="Arial" w:hAnsi="Arial" w:cs="Arial"/>
              </w:rPr>
            </w:pPr>
            <w:r w:rsidRPr="00D81742">
              <w:rPr>
                <w:rFonts w:ascii="Arial" w:eastAsia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326FDD0" w14:textId="30E212F0" w:rsidR="00D81742" w:rsidRDefault="00D81742" w:rsidP="00764A1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30. 9.</w:t>
            </w:r>
            <w:r w:rsidR="003D475B">
              <w:rPr>
                <w:rFonts w:ascii="Arial" w:eastAsia="Arial" w:hAnsi="Arial" w:cs="Arial"/>
              </w:rPr>
              <w:t xml:space="preserve"> 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E3CCD6" w14:textId="07BF9E08" w:rsidR="00D81742" w:rsidRDefault="003D475B" w:rsidP="00764A1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31. 10. 2025</w:t>
            </w:r>
          </w:p>
        </w:tc>
      </w:tr>
    </w:tbl>
    <w:p w14:paraId="27FA0EFD" w14:textId="77777777" w:rsidR="00905D21" w:rsidRDefault="00905D21" w:rsidP="000305B4">
      <w:pPr>
        <w:jc w:val="both"/>
        <w:rPr>
          <w:rFonts w:ascii="Arial" w:hAnsi="Arial" w:cs="Arial"/>
          <w:lang w:val="fr-FR"/>
        </w:rPr>
      </w:pPr>
    </w:p>
    <w:p w14:paraId="2F1B38E1" w14:textId="77777777" w:rsidR="00D15903" w:rsidRDefault="00D15903" w:rsidP="00D159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Odůvodnění:</w:t>
      </w:r>
    </w:p>
    <w:p w14:paraId="34F0920D" w14:textId="2FE6A077" w:rsidR="00905D21" w:rsidRDefault="00D15903" w:rsidP="00D15903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 rámci dílčí části 6.3.1 Vypracování </w:t>
      </w:r>
      <w:r w:rsidR="00216798">
        <w:rPr>
          <w:rFonts w:ascii="Arial" w:hAnsi="Arial" w:cs="Arial"/>
          <w:snapToGrid w:val="0"/>
        </w:rPr>
        <w:t xml:space="preserve">PSZ bylo </w:t>
      </w:r>
      <w:r w:rsidR="00777163">
        <w:rPr>
          <w:rFonts w:ascii="Arial" w:hAnsi="Arial" w:cs="Arial"/>
          <w:snapToGrid w:val="0"/>
        </w:rPr>
        <w:t xml:space="preserve">na základě požadavků sboru zástupců dodatečně </w:t>
      </w:r>
      <w:r w:rsidR="00216798">
        <w:rPr>
          <w:rFonts w:ascii="Arial" w:hAnsi="Arial" w:cs="Arial"/>
          <w:snapToGrid w:val="0"/>
        </w:rPr>
        <w:t>zadáno vyhotovení geotechnického průzkumu (dále jen „GTP“)</w:t>
      </w:r>
      <w:r w:rsidR="004B7210">
        <w:rPr>
          <w:rFonts w:ascii="Arial" w:hAnsi="Arial" w:cs="Arial"/>
          <w:snapToGrid w:val="0"/>
        </w:rPr>
        <w:t xml:space="preserve"> u protierozního průlehu PR1</w:t>
      </w:r>
      <w:r w:rsidR="002F48A0">
        <w:rPr>
          <w:rFonts w:ascii="Arial" w:hAnsi="Arial" w:cs="Arial"/>
          <w:snapToGrid w:val="0"/>
        </w:rPr>
        <w:t>, a to</w:t>
      </w:r>
      <w:r w:rsidR="00216798">
        <w:rPr>
          <w:rFonts w:ascii="Arial" w:hAnsi="Arial" w:cs="Arial"/>
          <w:snapToGrid w:val="0"/>
        </w:rPr>
        <w:t xml:space="preserve"> s termínem odevzdání do </w:t>
      </w:r>
      <w:r w:rsidR="00AC1748">
        <w:rPr>
          <w:rFonts w:ascii="Arial" w:hAnsi="Arial" w:cs="Arial"/>
          <w:snapToGrid w:val="0"/>
        </w:rPr>
        <w:t>4. 7. 2024</w:t>
      </w:r>
      <w:r w:rsidR="00626C76">
        <w:rPr>
          <w:rFonts w:ascii="Arial" w:hAnsi="Arial" w:cs="Arial"/>
          <w:snapToGrid w:val="0"/>
        </w:rPr>
        <w:t xml:space="preserve">. </w:t>
      </w:r>
      <w:r w:rsidR="008C3565">
        <w:rPr>
          <w:rFonts w:ascii="Arial" w:hAnsi="Arial" w:cs="Arial"/>
          <w:snapToGrid w:val="0"/>
        </w:rPr>
        <w:t>Teprve n</w:t>
      </w:r>
      <w:r w:rsidR="00EE1782">
        <w:rPr>
          <w:rFonts w:ascii="Arial" w:hAnsi="Arial" w:cs="Arial"/>
          <w:snapToGrid w:val="0"/>
        </w:rPr>
        <w:t xml:space="preserve">a základě výsledků </w:t>
      </w:r>
      <w:r w:rsidR="00626C76">
        <w:rPr>
          <w:rFonts w:ascii="Arial" w:hAnsi="Arial" w:cs="Arial"/>
          <w:snapToGrid w:val="0"/>
        </w:rPr>
        <w:t>GTP</w:t>
      </w:r>
      <w:r w:rsidR="00CC0CF4">
        <w:rPr>
          <w:rFonts w:ascii="Arial" w:hAnsi="Arial" w:cs="Arial"/>
          <w:snapToGrid w:val="0"/>
        </w:rPr>
        <w:t xml:space="preserve"> je možné dále zpracov</w:t>
      </w:r>
      <w:r w:rsidR="00D57675">
        <w:rPr>
          <w:rFonts w:ascii="Arial" w:hAnsi="Arial" w:cs="Arial"/>
          <w:snapToGrid w:val="0"/>
        </w:rPr>
        <w:t xml:space="preserve">at podrobné technické </w:t>
      </w:r>
      <w:r w:rsidR="00AC264B">
        <w:rPr>
          <w:rFonts w:ascii="Arial" w:hAnsi="Arial" w:cs="Arial"/>
          <w:snapToGrid w:val="0"/>
        </w:rPr>
        <w:t>řešení prvk</w:t>
      </w:r>
      <w:r w:rsidR="00862471">
        <w:rPr>
          <w:rFonts w:ascii="Arial" w:hAnsi="Arial" w:cs="Arial"/>
          <w:snapToGrid w:val="0"/>
        </w:rPr>
        <w:t>u</w:t>
      </w:r>
      <w:r w:rsidR="00AC264B">
        <w:rPr>
          <w:rFonts w:ascii="Arial" w:hAnsi="Arial" w:cs="Arial"/>
          <w:snapToGrid w:val="0"/>
        </w:rPr>
        <w:t xml:space="preserve"> PSZ</w:t>
      </w:r>
      <w:r w:rsidR="00862471">
        <w:rPr>
          <w:rFonts w:ascii="Arial" w:hAnsi="Arial" w:cs="Arial"/>
          <w:snapToGrid w:val="0"/>
        </w:rPr>
        <w:t xml:space="preserve"> (</w:t>
      </w:r>
      <w:r w:rsidR="00050801">
        <w:rPr>
          <w:rFonts w:ascii="Arial" w:hAnsi="Arial" w:cs="Arial"/>
          <w:snapToGrid w:val="0"/>
        </w:rPr>
        <w:t xml:space="preserve">protierozního průlehu </w:t>
      </w:r>
      <w:r w:rsidR="00862471">
        <w:rPr>
          <w:rFonts w:ascii="Arial" w:hAnsi="Arial" w:cs="Arial"/>
          <w:snapToGrid w:val="0"/>
        </w:rPr>
        <w:t>PR1)</w:t>
      </w:r>
      <w:r w:rsidR="00AC264B">
        <w:rPr>
          <w:rFonts w:ascii="Arial" w:hAnsi="Arial" w:cs="Arial"/>
          <w:snapToGrid w:val="0"/>
        </w:rPr>
        <w:t xml:space="preserve">. </w:t>
      </w:r>
      <w:r w:rsidR="00DE6DAB">
        <w:rPr>
          <w:rFonts w:ascii="Arial" w:hAnsi="Arial" w:cs="Arial"/>
          <w:snapToGrid w:val="0"/>
        </w:rPr>
        <w:t xml:space="preserve">Současně dochází ke změně termínu </w:t>
      </w:r>
      <w:r w:rsidR="00AC264B">
        <w:rPr>
          <w:rFonts w:ascii="Arial" w:hAnsi="Arial" w:cs="Arial"/>
          <w:snapToGrid w:val="0"/>
        </w:rPr>
        <w:t xml:space="preserve">navazující dílčí části. </w:t>
      </w:r>
    </w:p>
    <w:p w14:paraId="15DB1A81" w14:textId="412E43FC" w:rsidR="005457CE" w:rsidRDefault="005457CE" w:rsidP="00D15903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snapToGrid w:val="0"/>
        </w:rPr>
        <w:t xml:space="preserve">Na základě výše uvedených skutečností dochází ke změně termínů odevzdání uvedených dílčích částí tak, aby bylo možné veškeré činnosti včas a řádně provést. </w:t>
      </w:r>
    </w:p>
    <w:p w14:paraId="350D5DC7" w14:textId="77777777" w:rsidR="00D15903" w:rsidRDefault="00D15903" w:rsidP="000305B4">
      <w:pPr>
        <w:jc w:val="both"/>
        <w:rPr>
          <w:rFonts w:ascii="Arial" w:hAnsi="Arial" w:cs="Arial"/>
          <w:lang w:val="fr-FR"/>
        </w:rPr>
      </w:pPr>
    </w:p>
    <w:p w14:paraId="3308C2DB" w14:textId="546EAD06" w:rsidR="000305B4" w:rsidRDefault="000305B4" w:rsidP="000305B4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Dodatek č. 2 je uzavřen v souladu s ust. § 222 odst. 6 zákona č. 134/2016 Sb., o zadávání veřejných zakázek. Výše uvedená změna počtu měrných jednotek i změna termínu</w:t>
      </w:r>
      <w:r w:rsidR="00862B57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představuj</w:t>
      </w:r>
      <w:r w:rsidR="00862B57">
        <w:rPr>
          <w:rFonts w:ascii="Arial" w:hAnsi="Arial" w:cs="Arial"/>
          <w:lang w:val="fr-FR"/>
        </w:rPr>
        <w:t>í</w:t>
      </w:r>
      <w:r>
        <w:rPr>
          <w:rFonts w:ascii="Arial" w:hAnsi="Arial" w:cs="Arial"/>
          <w:lang w:val="fr-FR"/>
        </w:rPr>
        <w:t xml:space="preserve"> nepodstatnou změnu hodnoty závazku ze smlouvy, jejíž potřeba vznikla v důsledku okolností, které zadavatel jednající s náležitou péčí nemohl předvídat, a která nemění celkovou povahu veřejné zakázky. </w:t>
      </w:r>
    </w:p>
    <w:p w14:paraId="722820E6" w14:textId="77777777" w:rsidR="000305B4" w:rsidRDefault="000305B4" w:rsidP="000305B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val="fr-FR"/>
        </w:rPr>
        <w:t xml:space="preserve">Uzavřením Dodatku č. 2 nedojde k cenovému nárůstu, původní hodnota závazku tak nebude  navýšena.  </w:t>
      </w:r>
    </w:p>
    <w:p w14:paraId="24D2B47C" w14:textId="77777777" w:rsidR="00C9723F" w:rsidRDefault="00C9723F" w:rsidP="00E611C6">
      <w:pPr>
        <w:rPr>
          <w:rFonts w:ascii="Arial" w:hAnsi="Arial" w:cs="Arial"/>
          <w:b/>
          <w:bCs/>
        </w:rPr>
      </w:pPr>
      <w:bookmarkStart w:id="1" w:name="_Ref50585481"/>
      <w:bookmarkEnd w:id="0"/>
    </w:p>
    <w:p w14:paraId="3E268C09" w14:textId="22B91FB7" w:rsidR="00E611C6" w:rsidRPr="0072370B" w:rsidRDefault="00E611C6" w:rsidP="0072370B">
      <w:pPr>
        <w:pStyle w:val="Level1"/>
        <w:ind w:left="567" w:hanging="567"/>
        <w:rPr>
          <w:rFonts w:ascii="Arial" w:hAnsi="Arial" w:cs="Arial"/>
        </w:rPr>
      </w:pPr>
      <w:r w:rsidRPr="0072370B">
        <w:rPr>
          <w:rFonts w:ascii="Arial" w:hAnsi="Arial" w:cs="Arial"/>
        </w:rPr>
        <w:t>Cena díla</w:t>
      </w:r>
    </w:p>
    <w:p w14:paraId="7A69B1AF" w14:textId="77777777" w:rsidR="001B2801" w:rsidRDefault="00E611C6" w:rsidP="00E611C6">
      <w:pPr>
        <w:rPr>
          <w:rFonts w:ascii="Arial" w:hAnsi="Arial" w:cs="Arial"/>
        </w:rPr>
      </w:pPr>
      <w:r w:rsidRPr="005534B5">
        <w:rPr>
          <w:rFonts w:ascii="Arial" w:hAnsi="Arial" w:cs="Arial"/>
        </w:rPr>
        <w:t>Původně sjednané znění čl.</w:t>
      </w:r>
      <w:r>
        <w:rPr>
          <w:rFonts w:ascii="Arial" w:hAnsi="Arial" w:cs="Arial"/>
        </w:rPr>
        <w:t xml:space="preserve"> </w:t>
      </w:r>
      <w:r w:rsidRPr="005534B5">
        <w:rPr>
          <w:rFonts w:ascii="Arial" w:hAnsi="Arial" w:cs="Arial"/>
        </w:rPr>
        <w:t xml:space="preserve">3, odst. 3.1 se </w:t>
      </w:r>
      <w:proofErr w:type="gramStart"/>
      <w:r w:rsidRPr="005534B5">
        <w:rPr>
          <w:rFonts w:ascii="Arial" w:hAnsi="Arial" w:cs="Arial"/>
        </w:rPr>
        <w:t>ruší</w:t>
      </w:r>
      <w:proofErr w:type="gramEnd"/>
      <w:r w:rsidRPr="005534B5">
        <w:rPr>
          <w:rFonts w:ascii="Arial" w:hAnsi="Arial" w:cs="Arial"/>
        </w:rPr>
        <w:t xml:space="preserve"> a nahrazuje </w:t>
      </w:r>
      <w:r w:rsidR="001C169D">
        <w:rPr>
          <w:rFonts w:ascii="Arial" w:hAnsi="Arial" w:cs="Arial"/>
        </w:rPr>
        <w:t xml:space="preserve">se </w:t>
      </w:r>
      <w:r w:rsidR="001B2801">
        <w:rPr>
          <w:rFonts w:ascii="Arial" w:hAnsi="Arial" w:cs="Arial"/>
        </w:rPr>
        <w:t xml:space="preserve">takto: </w:t>
      </w:r>
    </w:p>
    <w:p w14:paraId="67D70644" w14:textId="5A20F212" w:rsidR="00E611C6" w:rsidRPr="005534B5" w:rsidRDefault="001B2801" w:rsidP="00E611C6">
      <w:pPr>
        <w:rPr>
          <w:rFonts w:ascii="Arial" w:hAnsi="Arial" w:cs="Arial"/>
        </w:rPr>
      </w:pPr>
      <w:r>
        <w:rPr>
          <w:rFonts w:ascii="Arial" w:hAnsi="Arial" w:cs="Arial"/>
        </w:rPr>
        <w:t>Cena za řádné a včasné provedení Díla je sjednána následovně:</w:t>
      </w:r>
      <w:r w:rsidR="00E611C6" w:rsidRPr="005534B5">
        <w:rPr>
          <w:rFonts w:ascii="Arial" w:hAnsi="Arial" w:cs="Arial"/>
        </w:rPr>
        <w:t xml:space="preserve"> 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843"/>
        <w:gridCol w:w="1900"/>
      </w:tblGrid>
      <w:tr w:rsidR="00E611C6" w:rsidRPr="00306CFD" w14:paraId="2D0459DA" w14:textId="77777777" w:rsidTr="00354A18">
        <w:trPr>
          <w:trHeight w:hRule="exact" w:val="397"/>
        </w:trPr>
        <w:tc>
          <w:tcPr>
            <w:tcW w:w="7843" w:type="dxa"/>
            <w:hideMark/>
          </w:tcPr>
          <w:p w14:paraId="214646C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1 „Přípravné práce“ celkem bez DPH </w:t>
            </w:r>
          </w:p>
          <w:p w14:paraId="20156F39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158A30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072AAF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A15AFC0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1 047 020,00</w:t>
            </w:r>
          </w:p>
        </w:tc>
      </w:tr>
      <w:tr w:rsidR="00E611C6" w:rsidRPr="00306CFD" w14:paraId="4DA93CE8" w14:textId="77777777" w:rsidTr="00354A18">
        <w:trPr>
          <w:trHeight w:hRule="exact" w:val="397"/>
        </w:trPr>
        <w:tc>
          <w:tcPr>
            <w:tcW w:w="7843" w:type="dxa"/>
            <w:hideMark/>
          </w:tcPr>
          <w:p w14:paraId="1AF7D8D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2 „Návrhové práce“ celkem bez DPH </w:t>
            </w:r>
          </w:p>
          <w:p w14:paraId="31465F0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3B7C4B0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6C01828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0F97925" w14:textId="3B0FF3D5" w:rsidR="00E611C6" w:rsidRPr="00306CFD" w:rsidRDefault="00E91E36" w:rsidP="00354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C40D29">
              <w:rPr>
                <w:rFonts w:ascii="Arial" w:hAnsi="Arial" w:cs="Arial"/>
              </w:rPr>
              <w:t>376 140</w:t>
            </w:r>
            <w:r w:rsidR="00E611C6" w:rsidRPr="00306CFD">
              <w:rPr>
                <w:rFonts w:ascii="Arial" w:hAnsi="Arial" w:cs="Arial"/>
              </w:rPr>
              <w:t>,00</w:t>
            </w:r>
          </w:p>
        </w:tc>
      </w:tr>
      <w:tr w:rsidR="00E611C6" w:rsidRPr="00306CFD" w14:paraId="2DA56CEF" w14:textId="77777777" w:rsidTr="00243C29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70928085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3 </w:t>
            </w:r>
            <w:r>
              <w:rPr>
                <w:rFonts w:ascii="Arial" w:hAnsi="Arial" w:cs="Arial"/>
              </w:rPr>
              <w:t xml:space="preserve">„Mapové dílo“ </w:t>
            </w:r>
            <w:r w:rsidRPr="00306CFD">
              <w:rPr>
                <w:rFonts w:ascii="Arial" w:hAnsi="Arial" w:cs="Arial"/>
              </w:rPr>
              <w:t xml:space="preserve">celkem bez DPH </w:t>
            </w:r>
          </w:p>
          <w:p w14:paraId="3F597244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65816F98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31A312B4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5811603A" w14:textId="4E862443" w:rsidR="00E611C6" w:rsidRPr="00306CFD" w:rsidRDefault="00E91E36" w:rsidP="00354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E611C6" w:rsidRPr="00306CFD">
              <w:rPr>
                <w:rFonts w:ascii="Arial" w:hAnsi="Arial" w:cs="Arial"/>
              </w:rPr>
              <w:t xml:space="preserve">142 </w:t>
            </w:r>
            <w:r w:rsidR="006E579A">
              <w:rPr>
                <w:rFonts w:ascii="Arial" w:hAnsi="Arial" w:cs="Arial"/>
              </w:rPr>
              <w:t>8</w:t>
            </w:r>
            <w:r w:rsidR="00E611C6" w:rsidRPr="00306CFD">
              <w:rPr>
                <w:rFonts w:ascii="Arial" w:hAnsi="Arial" w:cs="Arial"/>
              </w:rPr>
              <w:t>00,00</w:t>
            </w:r>
          </w:p>
        </w:tc>
      </w:tr>
      <w:tr w:rsidR="00E611C6" w:rsidRPr="00306CFD" w14:paraId="3A150D2C" w14:textId="77777777" w:rsidTr="00243C29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3E50DAD3" w14:textId="4F3E8999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Celková cena</w:t>
            </w:r>
            <w:r w:rsidR="00243C29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243C29">
              <w:rPr>
                <w:rFonts w:ascii="Arial" w:hAnsi="Arial" w:cs="Arial"/>
                <w:b/>
                <w:bCs/>
              </w:rPr>
              <w:t xml:space="preserve">Díla </w:t>
            </w:r>
            <w:r w:rsidRPr="00306CFD">
              <w:rPr>
                <w:rFonts w:ascii="Arial" w:hAnsi="Arial" w:cs="Arial"/>
                <w:b/>
                <w:bCs/>
              </w:rPr>
              <w:t xml:space="preserve"> bez</w:t>
            </w:r>
            <w:proofErr w:type="gramEnd"/>
            <w:r w:rsidRPr="00306CFD">
              <w:rPr>
                <w:rFonts w:ascii="Arial" w:hAnsi="Arial" w:cs="Arial"/>
                <w:b/>
                <w:bCs/>
              </w:rPr>
              <w:t xml:space="preserve"> DPH </w:t>
            </w:r>
          </w:p>
          <w:p w14:paraId="3EE7ADDD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5905CFA0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EFB0CE2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102A1930" w14:textId="51213C7C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1</w:t>
            </w:r>
            <w:r w:rsidR="006E579A">
              <w:rPr>
                <w:rFonts w:ascii="Arial" w:hAnsi="Arial" w:cs="Arial"/>
                <w:b/>
                <w:bCs/>
              </w:rPr>
              <w:t> 565 960</w:t>
            </w:r>
            <w:r w:rsidRPr="00306CFD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E611C6" w:rsidRPr="00306CFD" w14:paraId="415477CB" w14:textId="77777777" w:rsidTr="00243C29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54A71671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DPH  21% </w:t>
            </w:r>
          </w:p>
          <w:p w14:paraId="2914D581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1F4F7149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45B9B292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00045599" w14:textId="338A6C0D" w:rsidR="00E611C6" w:rsidRPr="00306CFD" w:rsidRDefault="00E91E36" w:rsidP="00354A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63351F">
              <w:rPr>
                <w:rFonts w:ascii="Arial" w:hAnsi="Arial" w:cs="Arial"/>
                <w:b/>
                <w:bCs/>
              </w:rPr>
              <w:t>328 851,60</w:t>
            </w:r>
          </w:p>
        </w:tc>
      </w:tr>
      <w:tr w:rsidR="00E611C6" w:rsidRPr="00306CFD" w14:paraId="28ABB9D1" w14:textId="77777777" w:rsidTr="00243C29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60847CD7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  <w:p w14:paraId="55B6207E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7095A30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CD5CA2A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40B98839" w14:textId="69BC1A93" w:rsidR="00E611C6" w:rsidRPr="00306CFD" w:rsidRDefault="0063351F" w:rsidP="00354A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1 894 811,60</w:t>
            </w:r>
          </w:p>
        </w:tc>
      </w:tr>
    </w:tbl>
    <w:p w14:paraId="5F0448DC" w14:textId="77777777" w:rsidR="00E611C6" w:rsidRDefault="00E611C6" w:rsidP="00E611C6"/>
    <w:p w14:paraId="5DE53B73" w14:textId="16E10E7C" w:rsidR="00E611C6" w:rsidRPr="005057E3" w:rsidRDefault="00521761" w:rsidP="00E611C6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Podrobnosti kalkulace ceny jsou uvedeny v Položkovém výkazu</w:t>
      </w:r>
      <w:r w:rsidR="001638D6">
        <w:rPr>
          <w:rFonts w:ascii="Arial" w:hAnsi="Arial" w:cs="Arial"/>
        </w:rPr>
        <w:t xml:space="preserve">, </w:t>
      </w:r>
      <w:r w:rsidR="008A4171">
        <w:rPr>
          <w:rFonts w:ascii="Arial" w:hAnsi="Arial" w:cs="Arial"/>
        </w:rPr>
        <w:t xml:space="preserve">který je nedílnou součástí tohoto </w:t>
      </w:r>
      <w:r>
        <w:rPr>
          <w:rFonts w:ascii="Arial" w:hAnsi="Arial" w:cs="Arial"/>
        </w:rPr>
        <w:t>Dodatku.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1"/>
    </w:p>
    <w:p w14:paraId="21A8B9C7" w14:textId="03168787" w:rsidR="009F796B" w:rsidRDefault="00311457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>
        <w:rPr>
          <w:rFonts w:ascii="Arial" w:hAnsi="Arial" w:cs="Arial"/>
          <w:szCs w:val="22"/>
        </w:rPr>
        <w:t xml:space="preserve">V ostatních bodech se smlouva o dílo č. objednatele: </w:t>
      </w:r>
      <w:r w:rsidRPr="00311457">
        <w:rPr>
          <w:rFonts w:ascii="Arial" w:hAnsi="Arial" w:cs="Arial"/>
          <w:szCs w:val="22"/>
        </w:rPr>
        <w:t>1371-2021-521101</w:t>
      </w:r>
      <w:r w:rsidR="00311D32">
        <w:rPr>
          <w:rFonts w:ascii="Arial" w:hAnsi="Arial" w:cs="Arial"/>
          <w:szCs w:val="22"/>
        </w:rPr>
        <w:t xml:space="preserve"> uzavřená dne </w:t>
      </w:r>
      <w:r w:rsidR="00311D32" w:rsidRPr="00311D32">
        <w:rPr>
          <w:rFonts w:ascii="Arial" w:hAnsi="Arial" w:cs="Arial"/>
          <w:szCs w:val="22"/>
        </w:rPr>
        <w:t>13.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10.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2021</w:t>
      </w:r>
      <w:r w:rsidR="00A95469">
        <w:rPr>
          <w:rFonts w:ascii="Arial" w:hAnsi="Arial" w:cs="Arial"/>
          <w:szCs w:val="22"/>
        </w:rPr>
        <w:t>, ve znění Dodatku č. 1 ke smlouvě o dílo,</w:t>
      </w:r>
      <w:r w:rsidR="00311D32" w:rsidRPr="00311D32">
        <w:rPr>
          <w:rFonts w:ascii="Arial" w:hAnsi="Arial" w:cs="Arial"/>
          <w:szCs w:val="22"/>
        </w:rPr>
        <w:t xml:space="preserve"> </w:t>
      </w:r>
      <w:r w:rsidR="007B79BA" w:rsidRPr="00BF554C">
        <w:rPr>
          <w:rFonts w:ascii="Arial" w:hAnsi="Arial" w:cs="Arial"/>
          <w:szCs w:val="22"/>
        </w:rPr>
        <w:t>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614FB4F9" w14:textId="352DF360" w:rsidR="00230310" w:rsidRPr="00C02904" w:rsidRDefault="004B47CC" w:rsidP="006A0D8F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7BE29E4A" w14:textId="6A611AD5" w:rsidR="00C02904" w:rsidRPr="006A0D8F" w:rsidRDefault="00C02904" w:rsidP="006A0D8F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Položkový výkaz činností.</w:t>
      </w:r>
    </w:p>
    <w:p w14:paraId="1A9A9913" w14:textId="603D5834" w:rsidR="002C5371" w:rsidRPr="00ED6435" w:rsidRDefault="002C5371" w:rsidP="009954C9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3A47C93D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04388E">
        <w:rPr>
          <w:rFonts w:ascii="Arial" w:hAnsi="Arial" w:cs="Arial"/>
          <w:b/>
        </w:rPr>
        <w:t xml:space="preserve">ento Dodatek </w:t>
      </w:r>
      <w:r w:rsidRPr="00ED6435">
        <w:rPr>
          <w:rFonts w:ascii="Arial" w:hAnsi="Arial" w:cs="Arial"/>
          <w:b/>
        </w:rPr>
        <w:t>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648103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4388E">
        <w:rPr>
          <w:rFonts w:ascii="Arial" w:eastAsia="Times New Roman" w:hAnsi="Arial" w:cs="Arial"/>
          <w:b/>
          <w:lang w:eastAsia="cs-CZ"/>
        </w:rPr>
        <w:t>Agroprojekce Litomyšl spol. s r.o.</w:t>
      </w:r>
    </w:p>
    <w:p w14:paraId="4C4BA8CD" w14:textId="17F5EF9B" w:rsidR="00024834" w:rsidRPr="00024834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24834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4892CAD7" w14:textId="20A9100E" w:rsidR="00E2346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4388E">
        <w:rPr>
          <w:rFonts w:ascii="Arial" w:eastAsia="Times New Roman" w:hAnsi="Arial" w:cs="Arial"/>
          <w:bCs/>
          <w:lang w:eastAsia="cs-CZ"/>
        </w:rPr>
        <w:t>Olomouc</w:t>
      </w:r>
      <w:r w:rsidR="00E23465">
        <w:rPr>
          <w:rFonts w:ascii="Arial" w:eastAsia="Times New Roman" w:hAnsi="Arial" w:cs="Arial"/>
          <w:bCs/>
          <w:lang w:eastAsia="cs-CZ"/>
        </w:rPr>
        <w:tab/>
      </w:r>
      <w:r w:rsidR="00E23465"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E23465">
        <w:rPr>
          <w:rFonts w:ascii="Arial" w:eastAsia="Times New Roman" w:hAnsi="Arial" w:cs="Arial"/>
          <w:bCs/>
          <w:lang w:eastAsia="cs-CZ"/>
        </w:rPr>
        <w:t>Vysoké Mýto</w:t>
      </w:r>
    </w:p>
    <w:p w14:paraId="58996297" w14:textId="0DC667EE" w:rsidR="002C5371" w:rsidRPr="00ED6435" w:rsidRDefault="00E2346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Dne: 17. 7. 2024</w:t>
      </w:r>
      <w:r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Dne: </w:t>
      </w:r>
      <w:r w:rsidR="00FD652B">
        <w:rPr>
          <w:rFonts w:ascii="Arial" w:eastAsia="Times New Roman" w:hAnsi="Arial" w:cs="Arial"/>
          <w:bCs/>
          <w:lang w:eastAsia="cs-CZ"/>
        </w:rPr>
        <w:t>17. 7. 2024</w:t>
      </w:r>
    </w:p>
    <w:p w14:paraId="0F681167" w14:textId="61B8F6A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287249" w14:textId="77777777" w:rsidR="006626EA" w:rsidRPr="00ED6435" w:rsidRDefault="006626E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F7F3BB7" w:rsidR="002C5371" w:rsidRPr="00ED6435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Jaroslav Jakoubek</w:t>
      </w:r>
    </w:p>
    <w:p w14:paraId="302B1564" w14:textId="1F14874F" w:rsidR="002C5371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Krajského pozemkového úřadu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společnosti </w:t>
      </w:r>
    </w:p>
    <w:p w14:paraId="4120C470" w14:textId="4F0A9F2C" w:rsidR="00024834" w:rsidRPr="00ED6435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DD543E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D988" w14:textId="77777777" w:rsidR="00E62108" w:rsidRDefault="00E62108" w:rsidP="007936E4">
      <w:pPr>
        <w:spacing w:after="0"/>
      </w:pPr>
      <w:r>
        <w:separator/>
      </w:r>
    </w:p>
  </w:endnote>
  <w:endnote w:type="continuationSeparator" w:id="0">
    <w:p w14:paraId="1A3AB24E" w14:textId="77777777" w:rsidR="00E62108" w:rsidRDefault="00E62108" w:rsidP="007936E4">
      <w:pPr>
        <w:spacing w:after="0"/>
      </w:pPr>
      <w:r>
        <w:continuationSeparator/>
      </w:r>
    </w:p>
  </w:endnote>
  <w:endnote w:type="continuationNotice" w:id="1">
    <w:p w14:paraId="4F08816A" w14:textId="77777777" w:rsidR="00E62108" w:rsidRDefault="00E6210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6D1A" w14:textId="77777777" w:rsidR="00E62108" w:rsidRDefault="00E62108" w:rsidP="007936E4">
      <w:pPr>
        <w:spacing w:after="0"/>
      </w:pPr>
      <w:r>
        <w:separator/>
      </w:r>
    </w:p>
  </w:footnote>
  <w:footnote w:type="continuationSeparator" w:id="0">
    <w:p w14:paraId="27C14940" w14:textId="77777777" w:rsidR="00E62108" w:rsidRDefault="00E62108" w:rsidP="007936E4">
      <w:pPr>
        <w:spacing w:after="0"/>
      </w:pPr>
      <w:r>
        <w:continuationSeparator/>
      </w:r>
    </w:p>
  </w:footnote>
  <w:footnote w:type="continuationNotice" w:id="1">
    <w:p w14:paraId="272BE776" w14:textId="77777777" w:rsidR="00E62108" w:rsidRDefault="00E6210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A28E62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CC1E55">
      <w:rPr>
        <w:szCs w:val="16"/>
      </w:rPr>
      <w:t xml:space="preserve">v k. </w:t>
    </w:r>
    <w:proofErr w:type="spellStart"/>
    <w:r w:rsidR="00CC1E55">
      <w:rPr>
        <w:szCs w:val="16"/>
      </w:rPr>
      <w:t>ú.</w:t>
    </w:r>
    <w:proofErr w:type="spellEnd"/>
    <w:r w:rsidR="00CC1E55">
      <w:rPr>
        <w:szCs w:val="16"/>
      </w:rPr>
      <w:t xml:space="preserve"> Žádlovice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2047D59F" w:rsidR="00043079" w:rsidRPr="001D4BED" w:rsidRDefault="00E00F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F45">
      <w:rPr>
        <w:rFonts w:cs="Arial"/>
        <w:szCs w:val="16"/>
        <w:lang w:val="fr-FR" w:eastAsia="cs-CZ"/>
      </w:rPr>
      <w:t>UID:</w:t>
    </w:r>
    <w:r w:rsidR="00345306">
      <w:rPr>
        <w:rFonts w:cs="Arial"/>
        <w:sz w:val="20"/>
        <w:szCs w:val="20"/>
        <w:lang w:val="fr-FR" w:eastAsia="cs-CZ"/>
      </w:rPr>
      <w:t xml:space="preserve"> </w:t>
    </w:r>
    <w:r w:rsidR="00177BBA" w:rsidRPr="00177BBA">
      <w:rPr>
        <w:rFonts w:cs="Arial"/>
        <w:szCs w:val="16"/>
        <w:lang w:val="fr-FR" w:eastAsia="cs-CZ"/>
      </w:rPr>
      <w:t>spudms00000014723102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0338BA">
      <w:rPr>
        <w:rFonts w:cs="Arial"/>
        <w:szCs w:val="16"/>
        <w:lang w:val="fr-FR" w:eastAsia="cs-CZ"/>
      </w:rPr>
      <w:t>1371-2021-521101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0338BA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0E2B162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338BA">
      <w:rPr>
        <w:rFonts w:cs="Arial"/>
        <w:szCs w:val="16"/>
        <w:lang w:val="fr-FR" w:eastAsia="cs-CZ"/>
      </w:rPr>
      <w:t>v k.</w:t>
    </w:r>
    <w:r w:rsidR="00CC1E55">
      <w:rPr>
        <w:rFonts w:cs="Arial"/>
        <w:szCs w:val="16"/>
        <w:lang w:val="fr-FR" w:eastAsia="cs-CZ"/>
      </w:rPr>
      <w:t xml:space="preserve"> </w:t>
    </w:r>
    <w:r w:rsidR="000338BA">
      <w:rPr>
        <w:rFonts w:cs="Arial"/>
        <w:szCs w:val="16"/>
        <w:lang w:val="fr-FR" w:eastAsia="cs-CZ"/>
      </w:rPr>
      <w:t>ú. Žádlovice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9A6100F"/>
    <w:multiLevelType w:val="multilevel"/>
    <w:tmpl w:val="A38E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DB315E8"/>
    <w:multiLevelType w:val="hybridMultilevel"/>
    <w:tmpl w:val="22CAF15A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B1D1232"/>
    <w:multiLevelType w:val="multilevel"/>
    <w:tmpl w:val="89A8628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FD8C74B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0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8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2"/>
  </w:num>
  <w:num w:numId="11" w16cid:durableId="1639145949">
    <w:abstractNumId w:val="8"/>
  </w:num>
  <w:num w:numId="12" w16cid:durableId="713506796">
    <w:abstractNumId w:val="21"/>
  </w:num>
  <w:num w:numId="13" w16cid:durableId="684092465">
    <w:abstractNumId w:val="16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9"/>
  </w:num>
  <w:num w:numId="17" w16cid:durableId="1838420779">
    <w:abstractNumId w:val="20"/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5"/>
  </w:num>
  <w:num w:numId="20" w16cid:durableId="612437958">
    <w:abstractNumId w:val="11"/>
  </w:num>
  <w:num w:numId="21" w16cid:durableId="1760909472">
    <w:abstractNumId w:val="18"/>
  </w:num>
  <w:num w:numId="22" w16cid:durableId="1928690870">
    <w:abstractNumId w:val="2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8013301">
    <w:abstractNumId w:val="10"/>
  </w:num>
  <w:num w:numId="24" w16cid:durableId="333798407">
    <w:abstractNumId w:val="2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911503">
    <w:abstractNumId w:val="2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5440977">
    <w:abstractNumId w:val="6"/>
  </w:num>
  <w:num w:numId="27" w16cid:durableId="788552469">
    <w:abstractNumId w:val="14"/>
  </w:num>
  <w:num w:numId="28" w16cid:durableId="2024161848">
    <w:abstractNumId w:val="3"/>
  </w:num>
  <w:num w:numId="29" w16cid:durableId="99348571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5D45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01"/>
    <w:rsid w:val="00020FE5"/>
    <w:rsid w:val="00021146"/>
    <w:rsid w:val="00021B06"/>
    <w:rsid w:val="00021D59"/>
    <w:rsid w:val="0002363A"/>
    <w:rsid w:val="0002419A"/>
    <w:rsid w:val="00024834"/>
    <w:rsid w:val="00024EBF"/>
    <w:rsid w:val="00025481"/>
    <w:rsid w:val="00025833"/>
    <w:rsid w:val="0002692A"/>
    <w:rsid w:val="00026CDB"/>
    <w:rsid w:val="000305B4"/>
    <w:rsid w:val="0003113C"/>
    <w:rsid w:val="0003130D"/>
    <w:rsid w:val="00031DCC"/>
    <w:rsid w:val="00032278"/>
    <w:rsid w:val="00032A8F"/>
    <w:rsid w:val="00032C41"/>
    <w:rsid w:val="000338BA"/>
    <w:rsid w:val="000359CC"/>
    <w:rsid w:val="00035DF2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88E"/>
    <w:rsid w:val="00043B8E"/>
    <w:rsid w:val="00044CBE"/>
    <w:rsid w:val="00045DA8"/>
    <w:rsid w:val="00046459"/>
    <w:rsid w:val="00046C44"/>
    <w:rsid w:val="0005026A"/>
    <w:rsid w:val="000503FC"/>
    <w:rsid w:val="00050801"/>
    <w:rsid w:val="00050FA0"/>
    <w:rsid w:val="000514AB"/>
    <w:rsid w:val="00051DEB"/>
    <w:rsid w:val="00052027"/>
    <w:rsid w:val="00052F95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5C5"/>
    <w:rsid w:val="00061985"/>
    <w:rsid w:val="00061A57"/>
    <w:rsid w:val="000622D1"/>
    <w:rsid w:val="00062DF2"/>
    <w:rsid w:val="000639E7"/>
    <w:rsid w:val="00063CE1"/>
    <w:rsid w:val="0006560F"/>
    <w:rsid w:val="00065B61"/>
    <w:rsid w:val="00065E7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455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7DF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06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FF6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9B3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115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8D6"/>
    <w:rsid w:val="001639E5"/>
    <w:rsid w:val="001641D6"/>
    <w:rsid w:val="00164479"/>
    <w:rsid w:val="001644D3"/>
    <w:rsid w:val="0016536B"/>
    <w:rsid w:val="00165673"/>
    <w:rsid w:val="00165D18"/>
    <w:rsid w:val="001679C6"/>
    <w:rsid w:val="00170B59"/>
    <w:rsid w:val="0017116A"/>
    <w:rsid w:val="00172B21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BBA"/>
    <w:rsid w:val="00177D28"/>
    <w:rsid w:val="0018058C"/>
    <w:rsid w:val="001805C9"/>
    <w:rsid w:val="00180CD5"/>
    <w:rsid w:val="0018121A"/>
    <w:rsid w:val="00181DCB"/>
    <w:rsid w:val="00182C66"/>
    <w:rsid w:val="00182EDF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71C"/>
    <w:rsid w:val="00195B92"/>
    <w:rsid w:val="00195CD3"/>
    <w:rsid w:val="00195D8C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396"/>
    <w:rsid w:val="001A48F2"/>
    <w:rsid w:val="001A49E4"/>
    <w:rsid w:val="001A4D2A"/>
    <w:rsid w:val="001A668F"/>
    <w:rsid w:val="001A7276"/>
    <w:rsid w:val="001A742D"/>
    <w:rsid w:val="001A76D3"/>
    <w:rsid w:val="001A78EE"/>
    <w:rsid w:val="001B026B"/>
    <w:rsid w:val="001B085F"/>
    <w:rsid w:val="001B0A7A"/>
    <w:rsid w:val="001B11D2"/>
    <w:rsid w:val="001B178C"/>
    <w:rsid w:val="001B1C9F"/>
    <w:rsid w:val="001B2801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69D"/>
    <w:rsid w:val="001C1C28"/>
    <w:rsid w:val="001C1C2A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1FF8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79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29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DA8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128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54F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284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8D6"/>
    <w:rsid w:val="002E5D8D"/>
    <w:rsid w:val="002E6290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48A0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8B2"/>
    <w:rsid w:val="0030413D"/>
    <w:rsid w:val="003044F0"/>
    <w:rsid w:val="00305AD0"/>
    <w:rsid w:val="00306A7C"/>
    <w:rsid w:val="00306B48"/>
    <w:rsid w:val="00306CFD"/>
    <w:rsid w:val="003071D5"/>
    <w:rsid w:val="003073D3"/>
    <w:rsid w:val="003077E0"/>
    <w:rsid w:val="00307B48"/>
    <w:rsid w:val="00310F4E"/>
    <w:rsid w:val="00311147"/>
    <w:rsid w:val="00311376"/>
    <w:rsid w:val="00311457"/>
    <w:rsid w:val="003119E1"/>
    <w:rsid w:val="00311D32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E36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5E8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306"/>
    <w:rsid w:val="0034595D"/>
    <w:rsid w:val="00346E81"/>
    <w:rsid w:val="00347DB4"/>
    <w:rsid w:val="003510DC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D94"/>
    <w:rsid w:val="003A67BB"/>
    <w:rsid w:val="003A6BFA"/>
    <w:rsid w:val="003A6C3C"/>
    <w:rsid w:val="003A6EAA"/>
    <w:rsid w:val="003B0249"/>
    <w:rsid w:val="003B0646"/>
    <w:rsid w:val="003B0AFB"/>
    <w:rsid w:val="003B1A45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9B6"/>
    <w:rsid w:val="003D424A"/>
    <w:rsid w:val="003D475B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3F"/>
    <w:rsid w:val="00404FB1"/>
    <w:rsid w:val="004051C8"/>
    <w:rsid w:val="004073F4"/>
    <w:rsid w:val="004074BD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D07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5E7B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3C5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210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92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010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57E3"/>
    <w:rsid w:val="0050639C"/>
    <w:rsid w:val="005063B1"/>
    <w:rsid w:val="005069F0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761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0B47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0C2"/>
    <w:rsid w:val="005418D8"/>
    <w:rsid w:val="005426BB"/>
    <w:rsid w:val="005457CE"/>
    <w:rsid w:val="00545F54"/>
    <w:rsid w:val="005464E3"/>
    <w:rsid w:val="00546F23"/>
    <w:rsid w:val="00547AF4"/>
    <w:rsid w:val="00547FD3"/>
    <w:rsid w:val="005502C0"/>
    <w:rsid w:val="005534B5"/>
    <w:rsid w:val="00553621"/>
    <w:rsid w:val="00553DE3"/>
    <w:rsid w:val="00554498"/>
    <w:rsid w:val="0055627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B25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2B4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2DA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46D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219"/>
    <w:rsid w:val="005D655F"/>
    <w:rsid w:val="005D6629"/>
    <w:rsid w:val="005D6DB9"/>
    <w:rsid w:val="005E006B"/>
    <w:rsid w:val="005E048E"/>
    <w:rsid w:val="005E17BD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CF6"/>
    <w:rsid w:val="00600E64"/>
    <w:rsid w:val="006016E2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74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6C76"/>
    <w:rsid w:val="00627255"/>
    <w:rsid w:val="00627AC3"/>
    <w:rsid w:val="00627F24"/>
    <w:rsid w:val="00630996"/>
    <w:rsid w:val="00630CED"/>
    <w:rsid w:val="00630E42"/>
    <w:rsid w:val="0063245B"/>
    <w:rsid w:val="00632885"/>
    <w:rsid w:val="0063351F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0FD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BBB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3ED3"/>
    <w:rsid w:val="0065449A"/>
    <w:rsid w:val="006558A7"/>
    <w:rsid w:val="00655D2B"/>
    <w:rsid w:val="00657CEB"/>
    <w:rsid w:val="00660E44"/>
    <w:rsid w:val="00662169"/>
    <w:rsid w:val="00662180"/>
    <w:rsid w:val="006626EA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B80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8F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1EE"/>
    <w:rsid w:val="006A5915"/>
    <w:rsid w:val="006A5E0F"/>
    <w:rsid w:val="006A617C"/>
    <w:rsid w:val="006B0E6B"/>
    <w:rsid w:val="006B1483"/>
    <w:rsid w:val="006B1ACE"/>
    <w:rsid w:val="006B1DE5"/>
    <w:rsid w:val="006B2AC7"/>
    <w:rsid w:val="006B3DC0"/>
    <w:rsid w:val="006B3E3C"/>
    <w:rsid w:val="006B4459"/>
    <w:rsid w:val="006B518C"/>
    <w:rsid w:val="006B71EE"/>
    <w:rsid w:val="006B7272"/>
    <w:rsid w:val="006B7D4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28F5"/>
    <w:rsid w:val="006D30DD"/>
    <w:rsid w:val="006D36B0"/>
    <w:rsid w:val="006D392A"/>
    <w:rsid w:val="006D5515"/>
    <w:rsid w:val="006D579F"/>
    <w:rsid w:val="006D6830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579A"/>
    <w:rsid w:val="006E65CF"/>
    <w:rsid w:val="006E6B32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4EB"/>
    <w:rsid w:val="006F6595"/>
    <w:rsid w:val="006F7D19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2B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70B"/>
    <w:rsid w:val="00723841"/>
    <w:rsid w:val="0072399C"/>
    <w:rsid w:val="00723C84"/>
    <w:rsid w:val="00724A40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EE1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85E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163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18B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32"/>
    <w:rsid w:val="007C289E"/>
    <w:rsid w:val="007C2F90"/>
    <w:rsid w:val="007C399D"/>
    <w:rsid w:val="007C3A8C"/>
    <w:rsid w:val="007C3EF7"/>
    <w:rsid w:val="007C3FE5"/>
    <w:rsid w:val="007C4CA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5D78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037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D2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EEE"/>
    <w:rsid w:val="008352FB"/>
    <w:rsid w:val="008379C3"/>
    <w:rsid w:val="008379EB"/>
    <w:rsid w:val="00837A60"/>
    <w:rsid w:val="00837F34"/>
    <w:rsid w:val="00841069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29D"/>
    <w:rsid w:val="00855C52"/>
    <w:rsid w:val="00855F12"/>
    <w:rsid w:val="00856781"/>
    <w:rsid w:val="00857781"/>
    <w:rsid w:val="00857D6E"/>
    <w:rsid w:val="008600D1"/>
    <w:rsid w:val="00862471"/>
    <w:rsid w:val="008624EC"/>
    <w:rsid w:val="00862B57"/>
    <w:rsid w:val="008630AA"/>
    <w:rsid w:val="00864BB9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497"/>
    <w:rsid w:val="00892B8D"/>
    <w:rsid w:val="00892D01"/>
    <w:rsid w:val="00893F3B"/>
    <w:rsid w:val="00895BF5"/>
    <w:rsid w:val="00895DC6"/>
    <w:rsid w:val="00895E59"/>
    <w:rsid w:val="00896A6E"/>
    <w:rsid w:val="00897CD0"/>
    <w:rsid w:val="008A13EA"/>
    <w:rsid w:val="008A1579"/>
    <w:rsid w:val="008A1A17"/>
    <w:rsid w:val="008A1E2B"/>
    <w:rsid w:val="008A24F8"/>
    <w:rsid w:val="008A2680"/>
    <w:rsid w:val="008A2C95"/>
    <w:rsid w:val="008A390B"/>
    <w:rsid w:val="008A4171"/>
    <w:rsid w:val="008A5038"/>
    <w:rsid w:val="008A65A3"/>
    <w:rsid w:val="008A7266"/>
    <w:rsid w:val="008A774F"/>
    <w:rsid w:val="008B0420"/>
    <w:rsid w:val="008B084C"/>
    <w:rsid w:val="008B1338"/>
    <w:rsid w:val="008B1614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565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69C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DCF"/>
    <w:rsid w:val="008E5F1A"/>
    <w:rsid w:val="008E636F"/>
    <w:rsid w:val="008E6FFA"/>
    <w:rsid w:val="008E7106"/>
    <w:rsid w:val="008E72EB"/>
    <w:rsid w:val="008F14A0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5D21"/>
    <w:rsid w:val="009060BB"/>
    <w:rsid w:val="0090619F"/>
    <w:rsid w:val="00906265"/>
    <w:rsid w:val="009063A6"/>
    <w:rsid w:val="00910492"/>
    <w:rsid w:val="00912028"/>
    <w:rsid w:val="00912090"/>
    <w:rsid w:val="0091239E"/>
    <w:rsid w:val="00912CBC"/>
    <w:rsid w:val="0091306D"/>
    <w:rsid w:val="009139FE"/>
    <w:rsid w:val="00914153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711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09C4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015"/>
    <w:rsid w:val="00943150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73C"/>
    <w:rsid w:val="00965922"/>
    <w:rsid w:val="00966218"/>
    <w:rsid w:val="009663E6"/>
    <w:rsid w:val="009668D6"/>
    <w:rsid w:val="00966ADB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6E3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4C9"/>
    <w:rsid w:val="009958AC"/>
    <w:rsid w:val="00995B7C"/>
    <w:rsid w:val="00995C13"/>
    <w:rsid w:val="00996360"/>
    <w:rsid w:val="0099638D"/>
    <w:rsid w:val="00996E5D"/>
    <w:rsid w:val="0099736B"/>
    <w:rsid w:val="00997885"/>
    <w:rsid w:val="00997C11"/>
    <w:rsid w:val="009A1A0A"/>
    <w:rsid w:val="009A1B7E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386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0E5D"/>
    <w:rsid w:val="009E113C"/>
    <w:rsid w:val="009E145E"/>
    <w:rsid w:val="009E14C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013"/>
    <w:rsid w:val="009E686E"/>
    <w:rsid w:val="009E7ADC"/>
    <w:rsid w:val="009F1562"/>
    <w:rsid w:val="009F16F5"/>
    <w:rsid w:val="009F1CF4"/>
    <w:rsid w:val="009F202E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0A5C"/>
    <w:rsid w:val="00A015C5"/>
    <w:rsid w:val="00A01745"/>
    <w:rsid w:val="00A0355E"/>
    <w:rsid w:val="00A03C4A"/>
    <w:rsid w:val="00A04699"/>
    <w:rsid w:val="00A0473E"/>
    <w:rsid w:val="00A0539B"/>
    <w:rsid w:val="00A055CA"/>
    <w:rsid w:val="00A05FFA"/>
    <w:rsid w:val="00A07CBA"/>
    <w:rsid w:val="00A07DAC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2752E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0884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389"/>
    <w:rsid w:val="00A52BE4"/>
    <w:rsid w:val="00A530FD"/>
    <w:rsid w:val="00A53789"/>
    <w:rsid w:val="00A556FF"/>
    <w:rsid w:val="00A5783C"/>
    <w:rsid w:val="00A578D6"/>
    <w:rsid w:val="00A601A9"/>
    <w:rsid w:val="00A60CAF"/>
    <w:rsid w:val="00A613E0"/>
    <w:rsid w:val="00A613F3"/>
    <w:rsid w:val="00A61619"/>
    <w:rsid w:val="00A61C92"/>
    <w:rsid w:val="00A62CA7"/>
    <w:rsid w:val="00A62D08"/>
    <w:rsid w:val="00A62D33"/>
    <w:rsid w:val="00A63161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D36"/>
    <w:rsid w:val="00A71E62"/>
    <w:rsid w:val="00A72D5F"/>
    <w:rsid w:val="00A73ABE"/>
    <w:rsid w:val="00A74D88"/>
    <w:rsid w:val="00A75003"/>
    <w:rsid w:val="00A7533B"/>
    <w:rsid w:val="00A75BB0"/>
    <w:rsid w:val="00A75D22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A83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469"/>
    <w:rsid w:val="00A959C8"/>
    <w:rsid w:val="00A9635C"/>
    <w:rsid w:val="00A963E6"/>
    <w:rsid w:val="00A9693D"/>
    <w:rsid w:val="00A97B33"/>
    <w:rsid w:val="00A97FF8"/>
    <w:rsid w:val="00AA02A0"/>
    <w:rsid w:val="00AA05A7"/>
    <w:rsid w:val="00AA07EE"/>
    <w:rsid w:val="00AA085A"/>
    <w:rsid w:val="00AA09F5"/>
    <w:rsid w:val="00AA141E"/>
    <w:rsid w:val="00AA16AE"/>
    <w:rsid w:val="00AA1859"/>
    <w:rsid w:val="00AA3698"/>
    <w:rsid w:val="00AA38D4"/>
    <w:rsid w:val="00AA3F7B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0C"/>
    <w:rsid w:val="00AB73DE"/>
    <w:rsid w:val="00AC09E6"/>
    <w:rsid w:val="00AC1748"/>
    <w:rsid w:val="00AC1BD2"/>
    <w:rsid w:val="00AC264B"/>
    <w:rsid w:val="00AC27CF"/>
    <w:rsid w:val="00AC40B5"/>
    <w:rsid w:val="00AC459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1F"/>
    <w:rsid w:val="00AE3832"/>
    <w:rsid w:val="00AE3F41"/>
    <w:rsid w:val="00AE4063"/>
    <w:rsid w:val="00AE4416"/>
    <w:rsid w:val="00AE4D33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1951"/>
    <w:rsid w:val="00B1328A"/>
    <w:rsid w:val="00B13383"/>
    <w:rsid w:val="00B13597"/>
    <w:rsid w:val="00B14845"/>
    <w:rsid w:val="00B14883"/>
    <w:rsid w:val="00B15BC8"/>
    <w:rsid w:val="00B15C35"/>
    <w:rsid w:val="00B163A8"/>
    <w:rsid w:val="00B17559"/>
    <w:rsid w:val="00B218E3"/>
    <w:rsid w:val="00B21A18"/>
    <w:rsid w:val="00B21E8C"/>
    <w:rsid w:val="00B22342"/>
    <w:rsid w:val="00B227F1"/>
    <w:rsid w:val="00B22C0F"/>
    <w:rsid w:val="00B22C7D"/>
    <w:rsid w:val="00B22E26"/>
    <w:rsid w:val="00B23FCD"/>
    <w:rsid w:val="00B243E2"/>
    <w:rsid w:val="00B24733"/>
    <w:rsid w:val="00B24E64"/>
    <w:rsid w:val="00B25846"/>
    <w:rsid w:val="00B25A5F"/>
    <w:rsid w:val="00B25B8A"/>
    <w:rsid w:val="00B25E0E"/>
    <w:rsid w:val="00B26035"/>
    <w:rsid w:val="00B262F3"/>
    <w:rsid w:val="00B277D0"/>
    <w:rsid w:val="00B27C3C"/>
    <w:rsid w:val="00B305E3"/>
    <w:rsid w:val="00B310BF"/>
    <w:rsid w:val="00B31808"/>
    <w:rsid w:val="00B321EF"/>
    <w:rsid w:val="00B3284D"/>
    <w:rsid w:val="00B34EDF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07"/>
    <w:rsid w:val="00B52466"/>
    <w:rsid w:val="00B52699"/>
    <w:rsid w:val="00B528C9"/>
    <w:rsid w:val="00B5318F"/>
    <w:rsid w:val="00B532FE"/>
    <w:rsid w:val="00B538CE"/>
    <w:rsid w:val="00B54157"/>
    <w:rsid w:val="00B54772"/>
    <w:rsid w:val="00B55060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A5C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1C14"/>
    <w:rsid w:val="00BA2F6B"/>
    <w:rsid w:val="00BA30C8"/>
    <w:rsid w:val="00BA3FD7"/>
    <w:rsid w:val="00BA4305"/>
    <w:rsid w:val="00BA443D"/>
    <w:rsid w:val="00BA46DA"/>
    <w:rsid w:val="00BA4856"/>
    <w:rsid w:val="00BA53E8"/>
    <w:rsid w:val="00BA5E59"/>
    <w:rsid w:val="00BA615E"/>
    <w:rsid w:val="00BA6F39"/>
    <w:rsid w:val="00BB02D5"/>
    <w:rsid w:val="00BB034B"/>
    <w:rsid w:val="00BB0AA2"/>
    <w:rsid w:val="00BB0C7E"/>
    <w:rsid w:val="00BB11DA"/>
    <w:rsid w:val="00BB13C6"/>
    <w:rsid w:val="00BB1455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76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575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904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0483"/>
    <w:rsid w:val="00C11103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02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0DE"/>
    <w:rsid w:val="00C2728E"/>
    <w:rsid w:val="00C31289"/>
    <w:rsid w:val="00C31423"/>
    <w:rsid w:val="00C31600"/>
    <w:rsid w:val="00C31C5E"/>
    <w:rsid w:val="00C31DB6"/>
    <w:rsid w:val="00C326DA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D29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3A5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23F"/>
    <w:rsid w:val="00CA0153"/>
    <w:rsid w:val="00CA02A6"/>
    <w:rsid w:val="00CA052B"/>
    <w:rsid w:val="00CA0951"/>
    <w:rsid w:val="00CA0C30"/>
    <w:rsid w:val="00CA2386"/>
    <w:rsid w:val="00CA2EA0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0CF4"/>
    <w:rsid w:val="00CC11F9"/>
    <w:rsid w:val="00CC1E55"/>
    <w:rsid w:val="00CC20CC"/>
    <w:rsid w:val="00CC2753"/>
    <w:rsid w:val="00CC28C2"/>
    <w:rsid w:val="00CC2B7A"/>
    <w:rsid w:val="00CC3224"/>
    <w:rsid w:val="00CC41E6"/>
    <w:rsid w:val="00CC43F8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6CA"/>
    <w:rsid w:val="00CD1E8E"/>
    <w:rsid w:val="00CD2612"/>
    <w:rsid w:val="00CD2F19"/>
    <w:rsid w:val="00CD35E9"/>
    <w:rsid w:val="00CD3DEA"/>
    <w:rsid w:val="00CD4024"/>
    <w:rsid w:val="00CD459F"/>
    <w:rsid w:val="00CD4955"/>
    <w:rsid w:val="00CD54C0"/>
    <w:rsid w:val="00CD6334"/>
    <w:rsid w:val="00CD6A36"/>
    <w:rsid w:val="00CD6F48"/>
    <w:rsid w:val="00CD7484"/>
    <w:rsid w:val="00CE0A3A"/>
    <w:rsid w:val="00CE19E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9CA"/>
    <w:rsid w:val="00CF23EE"/>
    <w:rsid w:val="00CF26A7"/>
    <w:rsid w:val="00CF2883"/>
    <w:rsid w:val="00CF2AD3"/>
    <w:rsid w:val="00CF2F91"/>
    <w:rsid w:val="00CF3357"/>
    <w:rsid w:val="00CF3A89"/>
    <w:rsid w:val="00CF4732"/>
    <w:rsid w:val="00CF4D97"/>
    <w:rsid w:val="00CF4F60"/>
    <w:rsid w:val="00CF52B5"/>
    <w:rsid w:val="00CF5DEF"/>
    <w:rsid w:val="00CF78DF"/>
    <w:rsid w:val="00CF7E55"/>
    <w:rsid w:val="00D00847"/>
    <w:rsid w:val="00D00B85"/>
    <w:rsid w:val="00D00FF7"/>
    <w:rsid w:val="00D014C4"/>
    <w:rsid w:val="00D01D2D"/>
    <w:rsid w:val="00D03715"/>
    <w:rsid w:val="00D03784"/>
    <w:rsid w:val="00D03FF1"/>
    <w:rsid w:val="00D043FD"/>
    <w:rsid w:val="00D048FB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903"/>
    <w:rsid w:val="00D15E3B"/>
    <w:rsid w:val="00D15F51"/>
    <w:rsid w:val="00D167AD"/>
    <w:rsid w:val="00D16C8E"/>
    <w:rsid w:val="00D2036C"/>
    <w:rsid w:val="00D204D7"/>
    <w:rsid w:val="00D20596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3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9CB"/>
    <w:rsid w:val="00D51124"/>
    <w:rsid w:val="00D51256"/>
    <w:rsid w:val="00D513D1"/>
    <w:rsid w:val="00D52A3D"/>
    <w:rsid w:val="00D52E4C"/>
    <w:rsid w:val="00D53367"/>
    <w:rsid w:val="00D53632"/>
    <w:rsid w:val="00D539BF"/>
    <w:rsid w:val="00D54AD2"/>
    <w:rsid w:val="00D54C28"/>
    <w:rsid w:val="00D56FD5"/>
    <w:rsid w:val="00D57675"/>
    <w:rsid w:val="00D57BFA"/>
    <w:rsid w:val="00D57DCE"/>
    <w:rsid w:val="00D60114"/>
    <w:rsid w:val="00D60DAE"/>
    <w:rsid w:val="00D6155E"/>
    <w:rsid w:val="00D61996"/>
    <w:rsid w:val="00D61AB8"/>
    <w:rsid w:val="00D61AD4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742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067"/>
    <w:rsid w:val="00D866B9"/>
    <w:rsid w:val="00D86E17"/>
    <w:rsid w:val="00D86FBA"/>
    <w:rsid w:val="00D90376"/>
    <w:rsid w:val="00D904A2"/>
    <w:rsid w:val="00D924D0"/>
    <w:rsid w:val="00D9250E"/>
    <w:rsid w:val="00D937B6"/>
    <w:rsid w:val="00D939C8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6A"/>
    <w:rsid w:val="00DB4D92"/>
    <w:rsid w:val="00DB562A"/>
    <w:rsid w:val="00DB5D6A"/>
    <w:rsid w:val="00DB6B26"/>
    <w:rsid w:val="00DB753A"/>
    <w:rsid w:val="00DB7F55"/>
    <w:rsid w:val="00DC175B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43E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DAB"/>
    <w:rsid w:val="00DF0D53"/>
    <w:rsid w:val="00DF0EC5"/>
    <w:rsid w:val="00DF1266"/>
    <w:rsid w:val="00DF2BDB"/>
    <w:rsid w:val="00DF40FB"/>
    <w:rsid w:val="00DF4626"/>
    <w:rsid w:val="00DF49A6"/>
    <w:rsid w:val="00DF62B2"/>
    <w:rsid w:val="00DF7402"/>
    <w:rsid w:val="00DF75B8"/>
    <w:rsid w:val="00DF7CA1"/>
    <w:rsid w:val="00E002B1"/>
    <w:rsid w:val="00E00411"/>
    <w:rsid w:val="00E006FC"/>
    <w:rsid w:val="00E0086F"/>
    <w:rsid w:val="00E00F45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725"/>
    <w:rsid w:val="00E21F5D"/>
    <w:rsid w:val="00E223E2"/>
    <w:rsid w:val="00E23465"/>
    <w:rsid w:val="00E239BC"/>
    <w:rsid w:val="00E2498D"/>
    <w:rsid w:val="00E24BDC"/>
    <w:rsid w:val="00E25E4A"/>
    <w:rsid w:val="00E261BF"/>
    <w:rsid w:val="00E26872"/>
    <w:rsid w:val="00E278E7"/>
    <w:rsid w:val="00E301E0"/>
    <w:rsid w:val="00E30312"/>
    <w:rsid w:val="00E304DD"/>
    <w:rsid w:val="00E30BAE"/>
    <w:rsid w:val="00E31FA5"/>
    <w:rsid w:val="00E328BC"/>
    <w:rsid w:val="00E32D92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364"/>
    <w:rsid w:val="00E35DFE"/>
    <w:rsid w:val="00E362F0"/>
    <w:rsid w:val="00E365C7"/>
    <w:rsid w:val="00E377CC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E9C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1C6"/>
    <w:rsid w:val="00E62108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79B"/>
    <w:rsid w:val="00E71951"/>
    <w:rsid w:val="00E71A62"/>
    <w:rsid w:val="00E725E0"/>
    <w:rsid w:val="00E725FC"/>
    <w:rsid w:val="00E72B01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96F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E36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333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BDD"/>
    <w:rsid w:val="00EC1C34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782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1D46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B4E"/>
    <w:rsid w:val="00F241DF"/>
    <w:rsid w:val="00F249A4"/>
    <w:rsid w:val="00F263F4"/>
    <w:rsid w:val="00F277EA"/>
    <w:rsid w:val="00F27FB1"/>
    <w:rsid w:val="00F3041C"/>
    <w:rsid w:val="00F30504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2C66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52E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DAF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4A"/>
    <w:rsid w:val="00F768B7"/>
    <w:rsid w:val="00F77027"/>
    <w:rsid w:val="00F77310"/>
    <w:rsid w:val="00F80062"/>
    <w:rsid w:val="00F8086A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0A0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000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52B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4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2346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2346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k.sumper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6</Pages>
  <Words>1232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250</cp:revision>
  <cp:lastPrinted>2024-07-12T12:57:00Z</cp:lastPrinted>
  <dcterms:created xsi:type="dcterms:W3CDTF">2023-09-06T07:44:00Z</dcterms:created>
  <dcterms:modified xsi:type="dcterms:W3CDTF">2024-07-17T12:49:00Z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