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SMLOUVA O ZAJIŠTĚNÍ KOUČINKU, VZDĚLÁVÁNÍ, ODBORNÝCH KONZULTACÍ A INDIVIDUÁLNÍHO ROZVOJE UČITELŮ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127"/>
        </w:tabs>
        <w:spacing w:after="0" w:line="240" w:lineRule="auto"/>
        <w:ind w:left="2127" w:hanging="2127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Objednatel: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Základní umělecká škola, Frenštát pod Radhoštěm, Tyršova 955, příspěvková organizace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Sídlo (adresa):</w:t>
        <w:tab/>
        <w:t xml:space="preserve">Tyršova 955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IČ:</w:t>
        <w:tab/>
        <w:t xml:space="preserve">62330357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DIČ:</w:t>
        <w:tab/>
        <w:t xml:space="preserve">CZ62330357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Zastoupený: </w:t>
        <w:tab/>
        <w:t xml:space="preserve">PhDr. Vladimírem Vondráčkem, Ph.D., ředitelem organizace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na straně jedné jakožto „objednatelem“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a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Zhotovitel:</w:t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Mgr. Rostislav Honus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Sídlo:</w:t>
        <w:tab/>
        <w:t xml:space="preserve">Kremličkova 993/5, 709 00 Ostrava 9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IČ:</w:t>
        <w:tab/>
        <w:t xml:space="preserve">73913821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127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DIČ:</w:t>
        <w:tab/>
        <w:t xml:space="preserve">CZ7206215555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Bankovní spojení:</w:t>
        <w:tab/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43-5357240237/0100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na straně druhé jakožto „zhotovitelem“. 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Předmět smlouvy, obecná ustanovení 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1.1 Předmětem této smlouvy je zajištění individuálního a skupinového koučinku, vzdělávání, odborných konzultací v oblasti rozvoje lidí a individuálního rozvoje učitelů včetně analýz vzdělávacích potřeb a evaluace výuky. Objednatel i zhotovitel souhlasně prohlašují, že předmět činnosti na základě shora uvedené specifikace je dostatečně určitě a srozumitelně vymezen. 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1.2 Zhotovitel se zavazuje provést činnosti v rozsahu a době podle této smlouvy a při dodržení kvalitativních a dalších podmínek v ní stanovených, přičemž tak učiní vlastním jménem, na vlastní odpovědnost i nebezpečí. Zhotovitel se dále zavazuje opatřit všechny potřebné věci, určené k provedení činnosti. 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1.3 Zhotovitel prohlašuje, že má příslušné oprávnění k činnostem, jichž je k plnění této smlouvy třeba. 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1.4 Místem provádění činnosti s výjimkou přípravných a evaluačních prací je sídlo zadavatele.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II.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Cena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2.1 Odměna zhotovitele za provádění jednotlivých činností je smluvní a činí 550,- Kč za hodinu. Odměna zahrnuje veškeré náklady zhotovitele spojené s plněním předmětu smlouvy včetně nákladů na dopravu do sídla zadavatele.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both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2.2 Sjednanou odměnu podle odst. 1 tohoto článku je objednatel povinen uhradit z titulu dílčího plnění poskytnutého zhotovitelem, a to na základě měsíční faktury vystavené zhotovitelem dle veškerých náležitostí daných zákonem, která je splatná do 14 dnů ode dne jejího převzetí objednatelem, formou bankovního převodu na účet zhotovitele uvedený v záhlaví této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III.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Doba trvání smlouvy a odstoupení od smlouvy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3.1 Tato smlouvy se uzavírá na dobu určitou od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16. 7. 2024 do 31. 8. 2025.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3.2 Tato smlouva zaniká uplynutím doby určité nebo výpovědi smlouvy ze strany objednatele nebo zhotovitele, nebo na základě odstoupení od smlouvy ze strany zhotovitele, a to vše pouze písemnou formou. Výpověď smlouvy je možná ve výpovědní lhůtě v délce jednoho měsíce pro obě strany. 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3.3 Odstoupením od smlouvy tato smlouva zaniká v okamžiku, kdy zhotovitel písemné odstoupení doručí objednateli. 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IV.</w:t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Všeobecné podmínky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4.1 Zhotovitel je oprávněn a povinen chránit zájmy objednatele. Je povinen jednat čestně a svědomitě a uplatňovat vše, co dle svého přesvědčení a příkazů objednatele pokládá pro objednatele za prospěšné.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4.2 Zhotovitel se zavazuje zachovávat mlčenlivost mimo organizaci o všech skutečnostech, o nichž se dozví v souvislosti s činností podle této smlouvy, a to i po skončení platnosti této smlouvy.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4.3 Zhotovitel bude při plnění předmětu této smlouvy postupovat s odbornou péčí a zavazuje se dodržovat obecně závazné právní předpisy a podmínky této smlouvy. 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4.4 Zhotovitel povede ode dne zahájení provádění činností evidenci o poskytovaných službách, které předá objednateli na jeho vyžádání. 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4.5 Objednatel poskytne zhotoviteli k výkonu činnosti odpovídající prostory. 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V. </w:t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Závěrečná ustanovení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5.1 Tato smlouva může být měněna pouze písemnými dodatky, které budou vzestupně číslovány a podepsány oprávněnými zástupci smluvních stran.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5.2 Zhotovitel nemůže bez souhlasu objednatele postoupit svá práva a povinnosti ze smlouvy na třetí osobu.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5.3 Ve všech otázkách, jež nejsou řešeny touto smlouvou, platí především příslušná ustanovení zák. č. 89/2012 Sb., občanského zákoníku.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5.4 Smluvní strany prohlašují, že si smlouvu před jejím podpisem řádně přečetly, a že je jim dobře znám její obsah, se kterým bez výhrad souhlasí, že byla uzavřena podle jejich pravé a svobodné vůle, určitě, vážně a srozumitelně, na důkaz čehož připojují své vlastnoruční podpisy. 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5.5 Tato smlouva je vyhotovena ve dvou stejnopisech s platností originálu, každá smluvní strana obdrží po jenom vyhotovení. </w:t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5.6 Tato smlouva nabývá platnosti dnem podpisu obou smluvních stran s účinností</w:t>
        <w:br w:type="textWrapping"/>
        <w:t xml:space="preserve">od 16. 7. 2024 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Ve Frenštátě pod Radhoštěm, dne 16. 7. 2024.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………………………………………..                       </w:t>
        <w:tab/>
        <w:tab/>
        <w:t xml:space="preserve">………………………………………</w:t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  Za objednatele:</w:t>
        <w:tab/>
        <w:tab/>
        <w:tab/>
        <w:tab/>
        <w:tab/>
        <w:t xml:space="preserve">            </w:t>
        <w:tab/>
        <w:tab/>
        <w:t xml:space="preserve">  Za zhotovitele: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PhDr. Vladimír Vondráček, Ph.D.</w:t>
        <w:tab/>
        <w:tab/>
        <w:tab/>
        <w:tab/>
        <w:t xml:space="preserve">        Mgr. Rostislav Honus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      ředitel organizace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1D3803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C77BB7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locked w:val="1"/>
    <w:rsid w:val="00C77BB7"/>
    <w:rPr>
      <w:rFonts w:cs="Times New Roman"/>
    </w:rPr>
  </w:style>
  <w:style w:type="paragraph" w:styleId="Zpat">
    <w:name w:val="footer"/>
    <w:basedOn w:val="Normln"/>
    <w:link w:val="ZpatChar"/>
    <w:uiPriority w:val="99"/>
    <w:unhideWhenUsed w:val="1"/>
    <w:rsid w:val="00C77BB7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locked w:val="1"/>
    <w:rsid w:val="00C77BB7"/>
    <w:rPr>
      <w:rFonts w:cs="Times New Roman"/>
    </w:rPr>
  </w:style>
  <w:style w:type="paragraph" w:styleId="Odstavecseseznamem">
    <w:name w:val="List Paragraph"/>
    <w:basedOn w:val="Normln"/>
    <w:uiPriority w:val="34"/>
    <w:qFormat w:val="1"/>
    <w:rsid w:val="00F4776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rlZDdsFYbUvR+UWACBnKc16Vg==">CgMxLjAyCGguZ2pkZ3hzOAByITF1YWxGc19LdW5FMld6dmFiSXgtY0tkVVJQV1pTX1dZaw==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2024-07-16T05:24:00Z</dcterms:created>
  <dc:creator>reditel</dc:creator>
</cp:coreProperties>
</file>