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0" w:line="240" w:lineRule="auto"/>
        <w:ind w:left="0" w:right="0" w:firstLine="0"/>
        <w:jc w:val="center"/>
        <w:rPr>
          <w:sz w:val="40"/>
          <w:szCs w:val="40"/>
        </w:rPr>
      </w:pPr>
      <w:bookmarkStart w:id="0" w:name="bookmark0"/>
      <w:bookmarkStart w:id="1" w:name="bookmark1"/>
      <w:bookmarkStart w:id="2" w:name="bookmark2"/>
      <w:r>
        <w:rPr>
          <w:rFonts w:ascii="Times New Roman" w:eastAsia="Times New Roman" w:hAnsi="Times New Roman" w:cs="Times New Roman"/>
          <w:color w:val="000000"/>
          <w:spacing w:val="0"/>
          <w:w w:val="100"/>
          <w:position w:val="0"/>
          <w:sz w:val="40"/>
          <w:szCs w:val="40"/>
          <w:shd w:val="clear" w:color="auto" w:fill="auto"/>
          <w:lang w:val="cs-CZ" w:eastAsia="cs-CZ" w:bidi="cs-CZ"/>
        </w:rPr>
        <w:t>Dodatek č. 1</w:t>
      </w:r>
      <w:bookmarkEnd w:id="0"/>
      <w:bookmarkEnd w:id="1"/>
      <w:bookmarkEnd w:id="2"/>
    </w:p>
    <w:p>
      <w:pPr>
        <w:pStyle w:val="Style2"/>
        <w:keepNext w:val="0"/>
        <w:keepLines w:val="0"/>
        <w:widowControl w:val="0"/>
        <w:shd w:val="clear" w:color="auto" w:fill="auto"/>
        <w:bidi w:val="0"/>
        <w:spacing w:before="0" w:after="260" w:line="240" w:lineRule="auto"/>
        <w:ind w:left="0" w:right="0" w:firstLine="0"/>
        <w:jc w:val="center"/>
      </w:pPr>
      <w:bookmarkStart w:id="3" w:name="bookmark3"/>
      <w:r>
        <w:rPr>
          <w:rFonts w:ascii="Times New Roman" w:eastAsia="Times New Roman" w:hAnsi="Times New Roman" w:cs="Times New Roman"/>
          <w:b/>
          <w:bCs/>
          <w:color w:val="000000"/>
          <w:spacing w:val="0"/>
          <w:w w:val="100"/>
          <w:position w:val="0"/>
          <w:sz w:val="24"/>
          <w:szCs w:val="24"/>
          <w:shd w:val="clear" w:color="auto" w:fill="auto"/>
          <w:lang w:val="cs-CZ" w:eastAsia="cs-CZ" w:bidi="cs-CZ"/>
        </w:rPr>
        <w:t>ke smlouvě o dílo č. objednatele 1285/2022, č. zhotovitele A2602/22</w:t>
      </w:r>
      <w:bookmarkEnd w:id="3"/>
    </w:p>
    <w:tbl>
      <w:tblPr>
        <w:tblOverlap w:val="never"/>
        <w:jc w:val="center"/>
        <w:tblLayout w:type="fixed"/>
      </w:tblPr>
      <w:tblGrid>
        <w:gridCol w:w="3437"/>
        <w:gridCol w:w="5146"/>
      </w:tblGrid>
      <w:tr>
        <w:trPr>
          <w:trHeight w:val="461" w:hRule="exact"/>
        </w:trPr>
        <w:tc>
          <w:tcPr>
            <w:gridSpan w:val="2"/>
            <w:tcBorders/>
            <w:shd w:val="clear" w:color="auto" w:fill="FFFFFF"/>
            <w:vAlign w:val="top"/>
          </w:tcPr>
          <w:p>
            <w:pPr>
              <w:pStyle w:val="Style14"/>
              <w:keepNext w:val="0"/>
              <w:keepLines w:val="0"/>
              <w:widowControl w:val="0"/>
              <w:shd w:val="clear" w:color="auto" w:fill="auto"/>
              <w:tabs>
                <w:tab w:pos="850" w:val="left"/>
              </w:tabs>
              <w:bidi w:val="0"/>
              <w:spacing w:before="0" w:after="0" w:line="240" w:lineRule="auto"/>
              <w:ind w:left="0" w:right="0" w:firstLine="0"/>
              <w:jc w:val="left"/>
              <w:rPr>
                <w:sz w:val="28"/>
                <w:szCs w:val="28"/>
              </w:rPr>
            </w:pPr>
            <w:bookmarkStart w:id="4" w:name="bookmark4"/>
            <w:r>
              <w:rPr>
                <w:rFonts w:ascii="Times New Roman" w:eastAsia="Times New Roman" w:hAnsi="Times New Roman" w:cs="Times New Roman"/>
                <w:b/>
                <w:bCs/>
                <w:color w:val="000000"/>
                <w:spacing w:val="0"/>
                <w:w w:val="100"/>
                <w:position w:val="0"/>
                <w:sz w:val="28"/>
                <w:szCs w:val="28"/>
                <w:shd w:val="clear" w:color="auto" w:fill="auto"/>
                <w:lang w:val="cs-CZ" w:eastAsia="cs-CZ" w:bidi="cs-CZ"/>
              </w:rPr>
              <w:t>I.</w:t>
              <w:tab/>
              <w:t>SMLUVNÍ STRANY</w:t>
            </w:r>
            <w:bookmarkEnd w:id="4"/>
          </w:p>
        </w:tc>
      </w:tr>
      <w:tr>
        <w:trPr>
          <w:trHeight w:val="475"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Objednatel:</w:t>
            </w:r>
          </w:p>
        </w:tc>
        <w:tc>
          <w:tcPr>
            <w:tcBorders/>
            <w:shd w:val="clear" w:color="auto" w:fill="FFFFFF"/>
            <w:vAlign w:val="top"/>
          </w:tcPr>
          <w:p>
            <w:pPr>
              <w:widowControl w:val="0"/>
              <w:rPr>
                <w:sz w:val="10"/>
                <w:szCs w:val="10"/>
              </w:rPr>
            </w:pPr>
          </w:p>
        </w:tc>
      </w:tr>
      <w:tr>
        <w:trPr>
          <w:trHeight w:val="40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Obchodní firma:</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Povodí Ohře, státní podnik</w:t>
            </w:r>
          </w:p>
        </w:tc>
      </w:tr>
      <w:tr>
        <w:trPr>
          <w:trHeight w:val="37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Sídlo: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Bezručova 4219, 430 03 Chomutov</w:t>
            </w:r>
          </w:p>
        </w:tc>
      </w:tr>
      <w:tr>
        <w:trPr>
          <w:trHeight w:val="341"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Zapsán:</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u Krajského soudu v Ústí n. Labem, oddíl A, vložka</w:t>
            </w:r>
          </w:p>
        </w:tc>
      </w:tr>
      <w:tr>
        <w:trPr>
          <w:trHeight w:val="72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orgán objednatele:</w:t>
            </w:r>
          </w:p>
        </w:tc>
        <w:tc>
          <w:tcPr>
            <w:tcBorders/>
            <w:shd w:val="clear" w:color="auto" w:fill="FFFFFF"/>
            <w:vAlign w:val="bottom"/>
          </w:tcPr>
          <w:p>
            <w:pPr>
              <w:pStyle w:val="Style14"/>
              <w:keepNext w:val="0"/>
              <w:keepLines w:val="0"/>
              <w:widowControl w:val="0"/>
              <w:shd w:val="clear" w:color="auto" w:fill="auto"/>
              <w:bidi w:val="0"/>
              <w:spacing w:before="0" w:after="0" w:line="329"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 13052 generální ředitel</w:t>
            </w:r>
          </w:p>
        </w:tc>
      </w:tr>
      <w:tr>
        <w:trPr>
          <w:trHeight w:val="37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Zástupce ve věcech smluvních:</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generální ředitel</w:t>
            </w:r>
          </w:p>
        </w:tc>
      </w:tr>
      <w:tr>
        <w:trPr>
          <w:trHeight w:val="37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Zástupce ve věcech technických:</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hlavní pracovník TBD</w:t>
            </w:r>
          </w:p>
        </w:tc>
      </w:tr>
      <w:tr>
        <w:trPr>
          <w:trHeight w:val="38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70889988</w:t>
            </w:r>
          </w:p>
        </w:tc>
      </w:tr>
      <w:tr>
        <w:trPr>
          <w:trHeight w:val="37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CZ70889988</w:t>
            </w:r>
          </w:p>
        </w:tc>
      </w:tr>
      <w:tr>
        <w:trPr>
          <w:trHeight w:val="1138" w:hRule="exact"/>
        </w:trPr>
        <w:tc>
          <w:tcPr>
            <w:tcBorders/>
            <w:shd w:val="clear" w:color="auto" w:fill="FFFFFF"/>
            <w:vAlign w:val="bottom"/>
          </w:tcPr>
          <w:p>
            <w:pPr>
              <w:pStyle w:val="Style14"/>
              <w:keepNext w:val="0"/>
              <w:keepLines w:val="0"/>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Název a adresa banky:</w:t>
            </w:r>
          </w:p>
          <w:p>
            <w:pPr>
              <w:pStyle w:val="Style14"/>
              <w:keepNext w:val="0"/>
              <w:keepLines w:val="0"/>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Číslo účtu:</w:t>
            </w:r>
          </w:p>
          <w:p>
            <w:pPr>
              <w:pStyle w:val="Style14"/>
              <w:keepNext w:val="0"/>
              <w:keepLines w:val="0"/>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Telefon (fax):</w:t>
            </w:r>
          </w:p>
        </w:tc>
        <w:tc>
          <w:tcPr>
            <w:tcBorders/>
            <w:shd w:val="clear" w:color="auto" w:fill="FFFFFF"/>
            <w:vAlign w:val="top"/>
          </w:tcPr>
          <w:p>
            <w:pPr>
              <w:widowControl w:val="0"/>
              <w:rPr>
                <w:sz w:val="10"/>
                <w:szCs w:val="10"/>
              </w:rPr>
            </w:pPr>
          </w:p>
        </w:tc>
      </w:tr>
      <w:tr>
        <w:trPr>
          <w:trHeight w:val="552"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E-mail:</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fldChar w:fldCharType="begin"/>
            </w:r>
            <w:r>
              <w:rPr/>
              <w:instrText> HYPERLINK "mailto:poh@poh.cz"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poh@poh.cz</w:t>
            </w:r>
            <w:r>
              <w:fldChar w:fldCharType="end"/>
            </w:r>
          </w:p>
        </w:tc>
      </w:tr>
      <w:tr>
        <w:trPr>
          <w:trHeight w:val="576"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Zhotovitel:</w:t>
            </w:r>
          </w:p>
        </w:tc>
        <w:tc>
          <w:tcPr>
            <w:tcBorders/>
            <w:shd w:val="clear" w:color="auto" w:fill="FFFFFF"/>
            <w:vAlign w:val="top"/>
          </w:tcPr>
          <w:p>
            <w:pPr>
              <w:widowControl w:val="0"/>
              <w:rPr>
                <w:sz w:val="10"/>
                <w:szCs w:val="10"/>
              </w:rPr>
            </w:pPr>
          </w:p>
        </w:tc>
      </w:tr>
      <w:tr>
        <w:trPr>
          <w:trHeight w:val="40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Obchodní firma:</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VODNÍ DÍLA – TBD a.s.</w:t>
            </w:r>
          </w:p>
        </w:tc>
      </w:tr>
      <w:tr>
        <w:trPr>
          <w:trHeight w:val="37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Sídlo: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Hybernská 1617/40, Nové Město, 110 00 Praha 1</w:t>
            </w:r>
          </w:p>
        </w:tc>
      </w:tr>
      <w:tr>
        <w:trPr>
          <w:trHeight w:val="38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Zapsán:</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u Městského soudu v Praze, oddíl B, složka č. 2154</w:t>
            </w:r>
          </w:p>
        </w:tc>
      </w:tr>
      <w:tr>
        <w:trPr>
          <w:trHeight w:val="37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orgán zhotovitele:</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Představenstvo:</w:t>
            </w:r>
          </w:p>
        </w:tc>
      </w:tr>
      <w:tr>
        <w:trPr>
          <w:trHeight w:val="303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Zástupce ve věcech smluvních:</w:t>
            </w:r>
          </w:p>
        </w:tc>
        <w:tc>
          <w:tcPr>
            <w:tcBorders/>
            <w:shd w:val="clear" w:color="auto" w:fill="FFFFFF"/>
            <w:vAlign w:val="bottom"/>
          </w:tcPr>
          <w:p>
            <w:pPr>
              <w:pStyle w:val="Style14"/>
              <w:keepNext w:val="0"/>
              <w:keepLines w:val="0"/>
              <w:widowControl w:val="0"/>
              <w:shd w:val="clear" w:color="auto" w:fill="auto"/>
              <w:bidi w:val="0"/>
              <w:spacing w:before="0" w:after="0" w:line="329"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předseda představenstva místopředseda představenstva člen představenstva člen představenstva člen představenstva</w:t>
            </w:r>
          </w:p>
          <w:p>
            <w:pPr>
              <w:pStyle w:val="Style14"/>
              <w:keepNext w:val="0"/>
              <w:keepLines w:val="0"/>
              <w:widowControl w:val="0"/>
              <w:shd w:val="clear" w:color="auto" w:fill="auto"/>
              <w:bidi w:val="0"/>
              <w:spacing w:before="0" w:after="0" w:line="329"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Prokura: prokurista prokurista</w:t>
            </w:r>
          </w:p>
        </w:tc>
      </w:tr>
      <w:tr>
        <w:trPr>
          <w:trHeight w:val="37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Zástupce ve věcech technických:</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vedoucí útvaru 402</w:t>
            </w:r>
          </w:p>
        </w:tc>
      </w:tr>
      <w:tr>
        <w:trPr>
          <w:trHeight w:val="763"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vedoucí útvaru 401</w:t>
            </w:r>
          </w:p>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49241648</w:t>
            </w:r>
          </w:p>
        </w:tc>
      </w:tr>
      <w:tr>
        <w:trPr>
          <w:trHeight w:val="41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CZ49241648</w:t>
            </w:r>
          </w:p>
        </w:tc>
      </w:tr>
    </w:tbl>
    <w:p>
      <w:pPr>
        <w:pStyle w:val="Style12"/>
        <w:keepNext w:val="0"/>
        <w:keepLines w:val="0"/>
        <w:widowControl w:val="0"/>
        <w:shd w:val="clear" w:color="auto" w:fill="auto"/>
        <w:bidi w:val="0"/>
        <w:spacing w:before="0" w:after="0" w:line="240" w:lineRule="auto"/>
        <w:ind w:left="72"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Název a adresa banky:</w:t>
      </w:r>
    </w:p>
    <w:p>
      <w:pPr>
        <w:widowControl w:val="0"/>
        <w:spacing w:after="419" w:line="1" w:lineRule="exact"/>
      </w:pPr>
    </w:p>
    <w:p>
      <w:pPr>
        <w:pStyle w:val="Style2"/>
        <w:keepNext w:val="0"/>
        <w:keepLines w:val="0"/>
        <w:widowControl w:val="0"/>
        <w:shd w:val="clear" w:color="auto" w:fill="auto"/>
        <w:bidi w:val="0"/>
        <w:spacing w:before="0" w:after="34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Telefon (fax):</w:t>
      </w:r>
    </w:p>
    <w:p>
      <w:pPr>
        <w:pStyle w:val="Style2"/>
        <w:keepNext w:val="0"/>
        <w:keepLines w:val="0"/>
        <w:widowControl w:val="0"/>
        <w:shd w:val="clear" w:color="auto" w:fill="auto"/>
        <w:bidi w:val="0"/>
        <w:spacing w:before="0" w:after="30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3296920</wp:posOffset>
                </wp:positionH>
                <wp:positionV relativeFrom="paragraph">
                  <wp:posOffset>12700</wp:posOffset>
                </wp:positionV>
                <wp:extent cx="1033145" cy="240665"/>
                <wp:wrapSquare wrapText="left"/>
                <wp:docPr id="1" name="Shape 1"/>
                <a:graphic xmlns:a="http://schemas.openxmlformats.org/drawingml/2006/main">
                  <a:graphicData uri="http://schemas.microsoft.com/office/word/2010/wordprocessingShape">
                    <wps:wsp>
                      <wps:cNvSpPr txBox="1"/>
                      <wps:spPr>
                        <a:xfrm>
                          <a:ext cx="1033145" cy="2406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fldChar w:fldCharType="begin"/>
                            </w:r>
                            <w:r>
                              <w:rPr/>
                              <w:instrText> HYPERLINK "mailto:praha@vdtbd.cz"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praha@vdtbd.cz</w:t>
                            </w:r>
                            <w:r>
                              <w:fldChar w:fldCharType="end"/>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9.60000000000002pt;margin-top:1.pt;width:81.350000000000009pt;height:18.9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fldChar w:fldCharType="begin"/>
                      </w:r>
                      <w:r>
                        <w:rPr/>
                        <w:instrText> HYPERLINK "mailto:praha@vdtbd.cz"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praha@vdtbd.cz</w:t>
                      </w:r>
                      <w:r>
                        <w:fldChar w:fldCharType="end"/>
                      </w:r>
                    </w:p>
                  </w:txbxContent>
                </v:textbox>
                <w10:wrap type="square" side="left" anchorx="page"/>
              </v:shape>
            </w:pict>
          </mc:Fallback>
        </mc:AlternateContent>
      </w:r>
      <w:r>
        <w:rPr>
          <w:rFonts w:ascii="Times New Roman" w:eastAsia="Times New Roman" w:hAnsi="Times New Roman" w:cs="Times New Roman"/>
          <w:color w:val="000000"/>
          <w:spacing w:val="0"/>
          <w:w w:val="100"/>
          <w:position w:val="0"/>
          <w:sz w:val="24"/>
          <w:szCs w:val="24"/>
          <w:shd w:val="clear" w:color="auto" w:fill="auto"/>
          <w:lang w:val="cs-CZ" w:eastAsia="cs-CZ" w:bidi="cs-CZ"/>
        </w:rPr>
        <w:t>E-mail:</w:t>
      </w:r>
    </w:p>
    <w:p>
      <w:pPr>
        <w:pStyle w:val="Style2"/>
        <w:keepNext w:val="0"/>
        <w:keepLines w:val="0"/>
        <w:widowControl w:val="0"/>
        <w:shd w:val="clear" w:color="auto" w:fill="auto"/>
        <w:bidi w:val="0"/>
        <w:spacing w:before="0" w:after="30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Obě smluvní strany se dohodly na následujících změnách smlouvy o dílo č. objednatele 1285/2022, č. zhotovitele A2602/22:</w:t>
      </w:r>
    </w:p>
    <w:p>
      <w:pPr>
        <w:pStyle w:val="Style5"/>
        <w:keepNext/>
        <w:keepLines/>
        <w:widowControl w:val="0"/>
        <w:shd w:val="clear" w:color="auto" w:fill="auto"/>
        <w:bidi w:val="0"/>
        <w:spacing w:before="0" w:line="240" w:lineRule="auto"/>
        <w:ind w:left="0" w:right="0" w:firstLine="0"/>
        <w:jc w:val="left"/>
      </w:pPr>
      <w:bookmarkStart w:id="5" w:name="bookmark5"/>
      <w:bookmarkStart w:id="6" w:name="bookmark6"/>
      <w:bookmarkStart w:id="7" w:name="bookmark7"/>
      <w:r>
        <w:rPr>
          <w:rFonts w:ascii="Times New Roman" w:eastAsia="Times New Roman" w:hAnsi="Times New Roman" w:cs="Times New Roman"/>
          <w:color w:val="000000"/>
          <w:spacing w:val="0"/>
          <w:w w:val="100"/>
          <w:position w:val="0"/>
          <w:shd w:val="clear" w:color="auto" w:fill="auto"/>
          <w:lang w:val="cs-CZ" w:eastAsia="cs-CZ" w:bidi="cs-CZ"/>
        </w:rPr>
        <w:t>II. PŘEDMĚT DÍLA</w:t>
      </w:r>
      <w:bookmarkEnd w:id="5"/>
      <w:bookmarkEnd w:id="6"/>
      <w:bookmarkEnd w:id="7"/>
    </w:p>
    <w:p>
      <w:pPr>
        <w:pStyle w:val="Style2"/>
        <w:keepNext w:val="0"/>
        <w:keepLines w:val="0"/>
        <w:widowControl w:val="0"/>
        <w:shd w:val="clear" w:color="auto" w:fill="auto"/>
        <w:bidi w:val="0"/>
        <w:spacing w:before="0" w:after="300" w:line="262" w:lineRule="auto"/>
        <w:ind w:left="16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Rozsah prací se mění z důvodu provozně-organizačních potřeb objednatele na vodních dílech. Změny rozsahu jsou specifikovány v Příloze č. 1, která je nedílnou součástí tohoto dodatku.</w:t>
      </w:r>
    </w:p>
    <w:p>
      <w:pPr>
        <w:pStyle w:val="Style5"/>
        <w:keepNext/>
        <w:keepLines/>
        <w:widowControl w:val="0"/>
        <w:shd w:val="clear" w:color="auto" w:fill="auto"/>
        <w:bidi w:val="0"/>
        <w:spacing w:before="0" w:after="240" w:line="240" w:lineRule="auto"/>
        <w:ind w:left="0" w:right="0" w:firstLine="0"/>
        <w:jc w:val="left"/>
      </w:pPr>
      <w:bookmarkStart w:id="10" w:name="bookmark10"/>
      <w:bookmarkStart w:id="8" w:name="bookmark8"/>
      <w:bookmarkStart w:id="9" w:name="bookmark9"/>
      <w:r>
        <w:rPr>
          <w:rFonts w:ascii="Times New Roman" w:eastAsia="Times New Roman" w:hAnsi="Times New Roman" w:cs="Times New Roman"/>
          <w:color w:val="000000"/>
          <w:spacing w:val="0"/>
          <w:w w:val="100"/>
          <w:position w:val="0"/>
          <w:shd w:val="clear" w:color="auto" w:fill="auto"/>
          <w:lang w:val="cs-CZ" w:eastAsia="cs-CZ" w:bidi="cs-CZ"/>
        </w:rPr>
        <w:t>IV. CENA DÍLA</w:t>
      </w:r>
      <w:bookmarkEnd w:id="10"/>
      <w:bookmarkEnd w:id="8"/>
      <w:bookmarkEnd w:id="9"/>
    </w:p>
    <w:p>
      <w:pPr>
        <w:pStyle w:val="Style2"/>
        <w:keepNext w:val="0"/>
        <w:keepLines w:val="0"/>
        <w:widowControl w:val="0"/>
        <w:numPr>
          <w:ilvl w:val="0"/>
          <w:numId w:val="1"/>
        </w:numPr>
        <w:shd w:val="clear" w:color="auto" w:fill="auto"/>
        <w:tabs>
          <w:tab w:pos="378" w:val="left"/>
        </w:tabs>
        <w:bidi w:val="0"/>
        <w:spacing w:before="0"/>
        <w:ind w:left="380" w:right="0" w:hanging="380"/>
        <w:jc w:val="left"/>
      </w:pPr>
      <w:bookmarkStart w:id="11" w:name="bookmark11"/>
      <w:bookmarkEnd w:id="11"/>
      <w:r>
        <w:rPr>
          <w:rFonts w:ascii="Times New Roman" w:eastAsia="Times New Roman" w:hAnsi="Times New Roman" w:cs="Times New Roman"/>
          <w:color w:val="000000"/>
          <w:spacing w:val="0"/>
          <w:w w:val="100"/>
          <w:position w:val="0"/>
          <w:sz w:val="24"/>
          <w:szCs w:val="24"/>
          <w:shd w:val="clear" w:color="auto" w:fill="auto"/>
          <w:lang w:val="cs-CZ" w:eastAsia="cs-CZ" w:bidi="cs-CZ"/>
        </w:rPr>
        <w:t>Dodatkem se mění dílčí ceny díla v letech 2023 a 2024. Změny jsou uvedeny v Příloze č. 1, která je nedílnou součástí tohoto dodatku.</w:t>
      </w:r>
    </w:p>
    <w:p>
      <w:pPr>
        <w:pStyle w:val="Style2"/>
        <w:keepNext w:val="0"/>
        <w:keepLines w:val="0"/>
        <w:widowControl w:val="0"/>
        <w:numPr>
          <w:ilvl w:val="0"/>
          <w:numId w:val="1"/>
        </w:numPr>
        <w:shd w:val="clear" w:color="auto" w:fill="auto"/>
        <w:tabs>
          <w:tab w:pos="378" w:val="left"/>
        </w:tabs>
        <w:bidi w:val="0"/>
        <w:spacing w:before="0"/>
        <w:ind w:left="380" w:right="0" w:hanging="380"/>
        <w:jc w:val="left"/>
      </w:pPr>
      <w:bookmarkStart w:id="12" w:name="bookmark12"/>
      <w:bookmarkEnd w:id="12"/>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Celková cena díla se dodatkem č. 1 snižuje o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49 620,- Kč</w:t>
      </w:r>
      <w:r>
        <w:rPr>
          <w:rFonts w:ascii="Times New Roman" w:eastAsia="Times New Roman" w:hAnsi="Times New Roman" w:cs="Times New Roman"/>
          <w:color w:val="000000"/>
          <w:spacing w:val="0"/>
          <w:w w:val="100"/>
          <w:position w:val="0"/>
          <w:sz w:val="24"/>
          <w:szCs w:val="24"/>
          <w:shd w:val="clear" w:color="auto" w:fill="auto"/>
          <w:lang w:val="cs-CZ" w:eastAsia="cs-CZ" w:bidi="cs-CZ"/>
        </w:rPr>
        <w:t>. Rozklad snížení ceny v jednotlivých letech je uveden v příloze č. 1, která je nedílnou součástí tohoto dodatku tohoto dodatku.</w:t>
      </w:r>
    </w:p>
    <w:p>
      <w:pPr>
        <w:pStyle w:val="Style2"/>
        <w:keepNext w:val="0"/>
        <w:keepLines w:val="0"/>
        <w:widowControl w:val="0"/>
        <w:numPr>
          <w:ilvl w:val="0"/>
          <w:numId w:val="1"/>
        </w:numPr>
        <w:shd w:val="clear" w:color="auto" w:fill="auto"/>
        <w:tabs>
          <w:tab w:pos="378" w:val="left"/>
        </w:tabs>
        <w:bidi w:val="0"/>
        <w:spacing w:before="0" w:after="0" w:line="343" w:lineRule="auto"/>
        <w:ind w:left="0" w:right="0" w:firstLine="0"/>
        <w:jc w:val="left"/>
      </w:pPr>
      <w:bookmarkStart w:id="13" w:name="bookmark13"/>
      <w:bookmarkEnd w:id="13"/>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Celková cena díla se dodatkem č. 1 mění na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6 038 360,- Kč</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ind w:left="0" w:right="0" w:firstLine="38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(slovy</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šestmilionůtřicetosmtisíctřistašedesát Kč).</w:t>
      </w:r>
    </w:p>
    <w:p>
      <w:pPr>
        <w:pStyle w:val="Style2"/>
        <w:keepNext w:val="0"/>
        <w:keepLines w:val="0"/>
        <w:widowControl w:val="0"/>
        <w:numPr>
          <w:ilvl w:val="0"/>
          <w:numId w:val="1"/>
        </w:numPr>
        <w:shd w:val="clear" w:color="auto" w:fill="auto"/>
        <w:tabs>
          <w:tab w:pos="378" w:val="left"/>
        </w:tabs>
        <w:bidi w:val="0"/>
        <w:spacing w:before="0" w:after="240"/>
        <w:ind w:left="380" w:right="0" w:hanging="380"/>
        <w:jc w:val="both"/>
      </w:pPr>
      <w:bookmarkStart w:id="14" w:name="bookmark14"/>
      <w:bookmarkEnd w:id="14"/>
      <w:r>
        <w:rPr>
          <w:rFonts w:ascii="Times New Roman" w:eastAsia="Times New Roman" w:hAnsi="Times New Roman" w:cs="Times New Roman"/>
          <w:color w:val="000000"/>
          <w:spacing w:val="0"/>
          <w:w w:val="100"/>
          <w:position w:val="0"/>
          <w:sz w:val="24"/>
          <w:szCs w:val="24"/>
          <w:shd w:val="clear" w:color="auto" w:fill="auto"/>
          <w:lang w:val="cs-CZ" w:eastAsia="cs-CZ" w:bidi="cs-CZ"/>
        </w:rPr>
        <w:t>K částkám bude připočtena daň z přidané hodnoty podle zákona č. 235/2004 Sb., ve znění pozdějších předpisů.</w:t>
      </w:r>
    </w:p>
    <w:p>
      <w:pPr>
        <w:pStyle w:val="Style2"/>
        <w:keepNext w:val="0"/>
        <w:keepLines w:val="0"/>
        <w:widowControl w:val="0"/>
        <w:shd w:val="clear" w:color="auto" w:fill="auto"/>
        <w:bidi w:val="0"/>
        <w:spacing w:before="0"/>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Ostatní ujednání SoD zůstávají nezměněná.</w:t>
      </w:r>
    </w:p>
    <w:p>
      <w:pPr>
        <w:pStyle w:val="Style2"/>
        <w:keepNext w:val="0"/>
        <w:keepLines w:val="0"/>
        <w:widowControl w:val="0"/>
        <w:numPr>
          <w:ilvl w:val="0"/>
          <w:numId w:val="3"/>
        </w:numPr>
        <w:shd w:val="clear" w:color="auto" w:fill="auto"/>
        <w:tabs>
          <w:tab w:pos="378" w:val="left"/>
        </w:tabs>
        <w:bidi w:val="0"/>
        <w:spacing w:before="0"/>
        <w:ind w:left="380" w:right="0" w:hanging="380"/>
        <w:jc w:val="both"/>
      </w:pPr>
      <w:bookmarkStart w:id="15" w:name="bookmark15"/>
      <w:bookmarkEnd w:id="15"/>
      <w:r>
        <w:rPr>
          <w:rFonts w:ascii="Times New Roman" w:eastAsia="Times New Roman" w:hAnsi="Times New Roman" w:cs="Times New Roman"/>
          <w:color w:val="000000"/>
          <w:spacing w:val="0"/>
          <w:w w:val="100"/>
          <w:position w:val="0"/>
          <w:sz w:val="24"/>
          <w:szCs w:val="24"/>
          <w:shd w:val="clear" w:color="auto" w:fill="auto"/>
          <w:lang w:val="cs-CZ" w:eastAsia="cs-CZ" w:bidi="cs-CZ"/>
        </w:rPr>
        <w:t>Tento dodatek č. 1 je vyhotoven ve třech výtiscích, z nichž každý má platnost originálu. Po jeho podepsání obdrží objednatel dva a zhotovitel jeden výtisk.</w:t>
      </w:r>
    </w:p>
    <w:p>
      <w:pPr>
        <w:pStyle w:val="Style2"/>
        <w:keepNext w:val="0"/>
        <w:keepLines w:val="0"/>
        <w:widowControl w:val="0"/>
        <w:numPr>
          <w:ilvl w:val="0"/>
          <w:numId w:val="3"/>
        </w:numPr>
        <w:shd w:val="clear" w:color="auto" w:fill="auto"/>
        <w:tabs>
          <w:tab w:pos="378" w:val="left"/>
        </w:tabs>
        <w:bidi w:val="0"/>
        <w:spacing w:before="0"/>
        <w:ind w:left="0" w:right="0" w:firstLine="0"/>
        <w:jc w:val="left"/>
      </w:pPr>
      <w:bookmarkStart w:id="16" w:name="bookmark16"/>
      <w:bookmarkEnd w:id="16"/>
      <w:r>
        <w:rPr>
          <w:rFonts w:ascii="Times New Roman" w:eastAsia="Times New Roman" w:hAnsi="Times New Roman" w:cs="Times New Roman"/>
          <w:color w:val="000000"/>
          <w:spacing w:val="0"/>
          <w:w w:val="100"/>
          <w:position w:val="0"/>
          <w:sz w:val="24"/>
          <w:szCs w:val="24"/>
          <w:shd w:val="clear" w:color="auto" w:fill="auto"/>
          <w:lang w:val="cs-CZ" w:eastAsia="cs-CZ" w:bidi="cs-CZ"/>
        </w:rPr>
        <w:t>Tento dodatek č. 1 nabývá platnosti dnem jeho podpisu oběma smluvními stranami.</w:t>
      </w:r>
    </w:p>
    <w:p>
      <w:pPr>
        <w:pStyle w:val="Style2"/>
        <w:keepNext w:val="0"/>
        <w:keepLines w:val="0"/>
        <w:widowControl w:val="0"/>
        <w:numPr>
          <w:ilvl w:val="0"/>
          <w:numId w:val="3"/>
        </w:numPr>
        <w:shd w:val="clear" w:color="auto" w:fill="auto"/>
        <w:tabs>
          <w:tab w:pos="378" w:val="left"/>
        </w:tabs>
        <w:bidi w:val="0"/>
        <w:spacing w:before="0"/>
        <w:ind w:left="0" w:right="0" w:firstLine="0"/>
        <w:jc w:val="left"/>
      </w:pPr>
      <w:bookmarkStart w:id="17" w:name="bookmark17"/>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Tento dodatek nabývá účinnosti zveřejněním v registru smluv.</w:t>
      </w:r>
    </w:p>
    <w:p>
      <w:pPr>
        <w:pStyle w:val="Style2"/>
        <w:keepNext w:val="0"/>
        <w:keepLines w:val="0"/>
        <w:widowControl w:val="0"/>
        <w:numPr>
          <w:ilvl w:val="0"/>
          <w:numId w:val="3"/>
        </w:numPr>
        <w:shd w:val="clear" w:color="auto" w:fill="auto"/>
        <w:tabs>
          <w:tab w:pos="378" w:val="left"/>
        </w:tabs>
        <w:bidi w:val="0"/>
        <w:spacing w:before="0"/>
        <w:ind w:left="0" w:right="0" w:firstLine="0"/>
        <w:jc w:val="left"/>
      </w:pPr>
      <w:bookmarkStart w:id="18" w:name="bookmark18"/>
      <w:bookmarkEnd w:id="18"/>
      <w:r>
        <w:rPr>
          <w:rFonts w:ascii="Times New Roman" w:eastAsia="Times New Roman" w:hAnsi="Times New Roman" w:cs="Times New Roman"/>
          <w:color w:val="000000"/>
          <w:spacing w:val="0"/>
          <w:w w:val="100"/>
          <w:position w:val="0"/>
          <w:sz w:val="24"/>
          <w:szCs w:val="24"/>
          <w:shd w:val="clear" w:color="auto" w:fill="auto"/>
          <w:lang w:val="cs-CZ" w:eastAsia="cs-CZ" w:bidi="cs-CZ"/>
        </w:rPr>
        <w:t>V ostatním platí pro smluvní vztah ustanovení občanského zákoníku.</w:t>
      </w:r>
    </w:p>
    <w:p>
      <w:pPr>
        <w:pStyle w:val="Style2"/>
        <w:keepNext w:val="0"/>
        <w:keepLines w:val="0"/>
        <w:widowControl w:val="0"/>
        <w:numPr>
          <w:ilvl w:val="0"/>
          <w:numId w:val="3"/>
        </w:numPr>
        <w:shd w:val="clear" w:color="auto" w:fill="auto"/>
        <w:tabs>
          <w:tab w:pos="378" w:val="left"/>
        </w:tabs>
        <w:bidi w:val="0"/>
        <w:spacing w:before="0"/>
        <w:ind w:left="380" w:right="0" w:hanging="380"/>
        <w:jc w:val="both"/>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0"/>
          <w:numId w:val="3"/>
        </w:numPr>
        <w:shd w:val="clear" w:color="auto" w:fill="auto"/>
        <w:tabs>
          <w:tab w:pos="378" w:val="left"/>
        </w:tabs>
        <w:bidi w:val="0"/>
        <w:spacing w:before="0"/>
        <w:ind w:left="380" w:right="0" w:hanging="380"/>
        <w:jc w:val="both"/>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tohoto dodatku a vlastní smlouvy za obchodní tajemství.</w:t>
      </w:r>
    </w:p>
    <w:p>
      <w:pPr>
        <w:pStyle w:val="Style2"/>
        <w:keepNext w:val="0"/>
        <w:keepLines w:val="0"/>
        <w:widowControl w:val="0"/>
        <w:numPr>
          <w:ilvl w:val="0"/>
          <w:numId w:val="3"/>
        </w:numPr>
        <w:shd w:val="clear" w:color="auto" w:fill="auto"/>
        <w:tabs>
          <w:tab w:pos="360" w:val="left"/>
        </w:tabs>
        <w:bidi w:val="0"/>
        <w:spacing w:before="0"/>
        <w:ind w:left="380" w:right="0" w:hanging="380"/>
        <w:jc w:val="both"/>
      </w:pPr>
      <w:bookmarkStart w:id="21" w:name="bookmark21"/>
      <w:bookmarkEnd w:id="21"/>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3"/>
        </w:numPr>
        <w:shd w:val="clear" w:color="auto" w:fill="auto"/>
        <w:tabs>
          <w:tab w:pos="360" w:val="left"/>
        </w:tabs>
        <w:bidi w:val="0"/>
        <w:spacing w:before="0"/>
        <w:ind w:left="380" w:right="0" w:hanging="380"/>
        <w:jc w:val="both"/>
      </w:pPr>
      <w:bookmarkStart w:id="22" w:name="bookmark22"/>
      <w:bookmarkEnd w:id="22"/>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3"/>
        </w:numPr>
        <w:shd w:val="clear" w:color="auto" w:fill="auto"/>
        <w:tabs>
          <w:tab w:pos="360" w:val="left"/>
        </w:tabs>
        <w:bidi w:val="0"/>
        <w:spacing w:before="0" w:after="0"/>
        <w:ind w:left="0" w:right="0" w:firstLine="0"/>
        <w:jc w:val="both"/>
      </w:pPr>
      <w:bookmarkStart w:id="23" w:name="bookmark23"/>
      <w:bookmarkEnd w:id="23"/>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se seznámil se zásadami, hodnotami a cíli Compliance programu</w:t>
      </w:r>
    </w:p>
    <w:p>
      <w:pPr>
        <w:pStyle w:val="Style2"/>
        <w:keepNext w:val="0"/>
        <w:keepLines w:val="0"/>
        <w:widowControl w:val="0"/>
        <w:shd w:val="clear" w:color="auto" w:fill="auto"/>
        <w:tabs>
          <w:tab w:pos="2535" w:val="left"/>
          <w:tab w:pos="4556" w:val="left"/>
          <w:tab w:pos="6558" w:val="left"/>
          <w:tab w:pos="8708" w:val="left"/>
        </w:tabs>
        <w:bidi w:val="0"/>
        <w:spacing w:before="0" w:after="0"/>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w:t>
        <w:tab/>
        <w:t>Ohře,</w:t>
        <w:tab/>
        <w:t>státní</w:t>
        <w:tab/>
        <w:t>podnik</w:t>
        <w:tab/>
        <w:t>(viz</w:t>
      </w:r>
    </w:p>
    <w:p>
      <w:pPr>
        <w:pStyle w:val="Style2"/>
        <w:keepNext w:val="0"/>
        <w:keepLines w:val="0"/>
        <w:widowControl w:val="0"/>
        <w:shd w:val="clear" w:color="auto" w:fill="auto"/>
        <w:bidi w:val="0"/>
        <w:spacing w:before="0"/>
        <w:ind w:left="380" w:right="0" w:firstLine="0"/>
        <w:jc w:val="both"/>
      </w:pP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http://www.poh.cz/protikorupcni-a-compliance-program/d-1346/p1=1458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3"/>
        </w:numPr>
        <w:shd w:val="clear" w:color="auto" w:fill="auto"/>
        <w:tabs>
          <w:tab w:pos="438" w:val="left"/>
        </w:tabs>
        <w:bidi w:val="0"/>
        <w:spacing w:before="0"/>
        <w:ind w:left="380" w:right="0" w:hanging="380"/>
        <w:jc w:val="both"/>
      </w:pPr>
      <w:bookmarkStart w:id="24" w:name="bookmark24"/>
      <w:bookmarkEnd w:id="24"/>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3"/>
        </w:numPr>
        <w:shd w:val="clear" w:color="auto" w:fill="auto"/>
        <w:tabs>
          <w:tab w:pos="438" w:val="left"/>
        </w:tabs>
        <w:bidi w:val="0"/>
        <w:spacing w:before="0" w:after="340"/>
        <w:ind w:left="380" w:right="0" w:hanging="380"/>
        <w:jc w:val="both"/>
        <w:rPr>
          <w:sz w:val="22"/>
          <w:szCs w:val="22"/>
        </w:rPr>
      </w:pPr>
      <w:bookmarkStart w:id="25" w:name="bookmark25"/>
      <w:bookmarkEnd w:id="25"/>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http://www.poh.cz/informace-o-zpracovani-osobnich- udaju/d-1369/p1=1459</w:t>
      </w:r>
      <w:r>
        <w:fldChar w:fldCharType="end"/>
      </w:r>
      <w:r>
        <w:rPr>
          <w:rFonts w:ascii="Times New Roman" w:eastAsia="Times New Roman" w:hAnsi="Times New Roman" w:cs="Times New Roman"/>
          <w:color w:val="000000"/>
          <w:spacing w:val="0"/>
          <w:w w:val="100"/>
          <w:position w:val="0"/>
          <w:sz w:val="22"/>
          <w:szCs w:val="22"/>
          <w:shd w:val="clear" w:color="auto" w:fill="auto"/>
          <w:lang w:val="cs-CZ" w:eastAsia="cs-CZ" w:bidi="cs-CZ"/>
        </w:rPr>
        <w:t>.</w:t>
      </w:r>
    </w:p>
    <w:p>
      <w:pPr>
        <w:pStyle w:val="Style2"/>
        <w:keepNext w:val="0"/>
        <w:keepLines w:val="0"/>
        <w:widowControl w:val="0"/>
        <w:shd w:val="clear" w:color="auto" w:fill="auto"/>
        <w:tabs>
          <w:tab w:pos="5621" w:val="left"/>
        </w:tabs>
        <w:bidi w:val="0"/>
        <w:spacing w:before="0" w:after="340"/>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V Chomutově dne:</w:t>
        <w:tab/>
        <w:t>V Praze dne:</w:t>
      </w:r>
    </w:p>
    <w:p>
      <w:pPr>
        <w:pStyle w:val="Style2"/>
        <w:keepNext w:val="0"/>
        <w:keepLines w:val="0"/>
        <w:widowControl w:val="0"/>
        <w:shd w:val="clear" w:color="auto" w:fill="auto"/>
        <w:tabs>
          <w:tab w:pos="5621" w:val="left"/>
        </w:tabs>
        <w:bidi w:val="0"/>
        <w:spacing w:before="0" w:after="0"/>
        <w:ind w:left="0" w:right="0" w:firstLine="0"/>
        <w:jc w:val="both"/>
        <w:sectPr>
          <w:footerReference w:type="default" r:id="rId5"/>
          <w:footnotePr>
            <w:pos w:val="pageBottom"/>
            <w:numFmt w:val="decimal"/>
            <w:numRestart w:val="continuous"/>
          </w:footnotePr>
          <w:pgSz w:w="11909" w:h="16838"/>
          <w:pgMar w:top="395" w:left="1674" w:right="1105" w:bottom="1305" w:header="0" w:footer="3" w:gutter="0"/>
          <w:pgNumType w:start="1"/>
          <w:cols w:space="720"/>
          <w:noEndnote/>
          <w:rtlGutter w:val="0"/>
          <w:docGrid w:linePitch="360"/>
        </w:sect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Objednatel:</w:t>
        <w:tab/>
        <w:t>Zhotovitel: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6" w:after="86" w:line="240" w:lineRule="exact"/>
        <w:rPr>
          <w:sz w:val="19"/>
          <w:szCs w:val="19"/>
        </w:rPr>
      </w:pPr>
    </w:p>
    <w:p>
      <w:pPr>
        <w:widowControl w:val="0"/>
        <w:spacing w:line="1" w:lineRule="exact"/>
        <w:sectPr>
          <w:footnotePr>
            <w:pos w:val="pageBottom"/>
            <w:numFmt w:val="decimal"/>
            <w:numRestart w:val="continuous"/>
          </w:footnotePr>
          <w:type w:val="continuous"/>
          <w:pgSz w:w="11909" w:h="16838"/>
          <w:pgMar w:top="345" w:left="0" w:right="0" w:bottom="1185" w:header="0" w:footer="3" w:gutter="0"/>
          <w:cols w:space="720"/>
          <w:noEndnote/>
          <w:rtlGutter w:val="0"/>
          <w:docGrid w:linePitch="360"/>
        </w:sectPr>
      </w:pPr>
    </w:p>
    <w:p>
      <w:pPr>
        <w:pStyle w:val="Style2"/>
        <w:keepNext w:val="0"/>
        <w:keepLines w:val="0"/>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generální ředitel Povodí Ohře, státní podnik</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prokurista</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345" w:left="1749" w:right="1889" w:bottom="1185" w:header="0" w:footer="3" w:gutter="0"/>
          <w:cols w:num="2" w:space="3003"/>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VODNÍ DÍLA – TBD a. s.</w:t>
      </w:r>
    </w:p>
    <w:sectPr>
      <w:footnotePr>
        <w:pos w:val="pageBottom"/>
        <w:numFmt w:val="decimal"/>
        <w:numRestart w:val="continuous"/>
      </w:footnotePr>
      <w:type w:val="continuous"/>
      <w:pgSz w:w="11909" w:h="16838"/>
      <w:pgMar w:top="345" w:left="1749" w:right="1889" w:bottom="1185" w:header="0" w:footer="3" w:gutter="0"/>
      <w:cols w:num="2" w:space="300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3879215</wp:posOffset>
              </wp:positionH>
              <wp:positionV relativeFrom="page">
                <wp:posOffset>9970770</wp:posOffset>
              </wp:positionV>
              <wp:extent cx="69850" cy="189230"/>
              <wp:wrapNone/>
              <wp:docPr id="3" name="Shape 3"/>
              <a:graphic xmlns:a="http://schemas.openxmlformats.org/drawingml/2006/main">
                <a:graphicData uri="http://schemas.microsoft.com/office/word/2010/wordprocessingShape">
                  <wps:wsp>
                    <wps:cNvSpPr txBox="1"/>
                    <wps:spPr>
                      <a:xfrm>
                        <a:ext cx="698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29" type="#_x0000_t202" style="position:absolute;margin-left:305.44999999999999pt;margin-top:785.10000000000002pt;width:5.5pt;height:14.9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6">
    <w:name w:val="Char Style 6"/>
    <w:basedOn w:val="DefaultParagraphFont"/>
    <w:link w:val="Style5"/>
    <w:rPr>
      <w:b/>
      <w:bCs/>
      <w:i w:val="0"/>
      <w:iCs w:val="0"/>
      <w:smallCaps w:val="0"/>
      <w:strike w:val="0"/>
      <w:sz w:val="28"/>
      <w:szCs w:val="28"/>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3">
    <w:name w:val="Char Style 13"/>
    <w:basedOn w:val="DefaultParagraphFont"/>
    <w:link w:val="Style12"/>
    <w:rPr>
      <w:b w:val="0"/>
      <w:bCs w:val="0"/>
      <w:i w:val="0"/>
      <w:iCs w:val="0"/>
      <w:smallCaps w:val="0"/>
      <w:strike w:val="0"/>
      <w:u w:val="none"/>
    </w:rPr>
  </w:style>
  <w:style w:type="character" w:customStyle="1" w:styleId="CharStyle15">
    <w:name w:val="Char Style 15"/>
    <w:basedOn w:val="DefaultParagraphFont"/>
    <w:link w:val="Style14"/>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80" w:line="314" w:lineRule="auto"/>
    </w:pPr>
    <w:rPr>
      <w:b w:val="0"/>
      <w:bCs w:val="0"/>
      <w:i w:val="0"/>
      <w:iCs w:val="0"/>
      <w:smallCaps w:val="0"/>
      <w:strike w:val="0"/>
      <w:u w:val="none"/>
    </w:rPr>
  </w:style>
  <w:style w:type="paragraph" w:customStyle="1" w:styleId="Style5">
    <w:name w:val="Style 5"/>
    <w:basedOn w:val="Normal"/>
    <w:link w:val="CharStyle6"/>
    <w:pPr>
      <w:widowControl w:val="0"/>
      <w:shd w:val="clear" w:color="auto" w:fill="FFFFFF"/>
      <w:spacing w:after="180"/>
      <w:outlineLvl w:val="0"/>
    </w:pPr>
    <w:rPr>
      <w:b/>
      <w:bCs/>
      <w:i w:val="0"/>
      <w:iCs w:val="0"/>
      <w:smallCaps w:val="0"/>
      <w:strike w:val="0"/>
      <w:sz w:val="28"/>
      <w:szCs w:val="28"/>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b w:val="0"/>
      <w:bCs w:val="0"/>
      <w:i w:val="0"/>
      <w:iCs w:val="0"/>
      <w:smallCaps w:val="0"/>
      <w:strike w:val="0"/>
      <w:u w:val="none"/>
    </w:rPr>
  </w:style>
  <w:style w:type="paragraph" w:customStyle="1" w:styleId="Style14">
    <w:name w:val="Style 14"/>
    <w:basedOn w:val="Normal"/>
    <w:link w:val="CharStyle15"/>
    <w:pPr>
      <w:widowControl w:val="0"/>
      <w:shd w:val="clear" w:color="auto" w:fill="FFFFFF"/>
      <w:spacing w:after="80" w:line="314" w:lineRule="auto"/>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veze 01/2010</dc:subject>
  <dc:creator>Smrž Petr</dc:creator>
  <cp:keywords/>
</cp:coreProperties>
</file>