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tabs>
          <w:tab w:pos="307" w:val="left"/>
        </w:tabs>
        <w:bidi w:val="0"/>
        <w:spacing w:before="0" w:after="0"/>
        <w:ind w:left="0" w:firstLine="0"/>
        <w:jc w:val="right"/>
      </w:pPr>
      <w:bookmarkStart w:id="0" w:name="bookmark0"/>
      <w:r>
        <w:rPr>
          <w:rStyle w:val="CharStyle3"/>
        </w:rPr>
        <w:t>■IIIIIIIH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tabs>
          <w:tab w:pos="307" w:val="left"/>
        </w:tabs>
        <w:bidi w:val="0"/>
        <w:spacing w:before="0" w:after="240" w:line="218" w:lineRule="auto"/>
        <w:ind w:left="0" w:right="1160" w:firstLine="0"/>
        <w:jc w:val="right"/>
      </w:pPr>
      <w:r>
        <w:rPr>
          <w:rStyle w:val="CharStyle5"/>
        </w:rPr>
        <w:t>'</w:t>
        <w:tab/>
        <w:t>2024005306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7"/>
          <w:b/>
          <w:bCs/>
          <w:sz w:val="24"/>
          <w:szCs w:val="24"/>
        </w:rPr>
        <w:t>Dodatek č. 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k rámcové kupní smlouvě ze dne 11.10.2021, / dále jen „ smlouva “ /, uzavřené mezi</w:t>
      </w:r>
    </w:p>
    <w:tbl>
      <w:tblPr>
        <w:tblOverlap w:val="never"/>
        <w:jc w:val="center"/>
        <w:tblLayout w:type="fixed"/>
      </w:tblPr>
      <w:tblGrid>
        <w:gridCol w:w="1944"/>
        <w:gridCol w:w="7166"/>
      </w:tblGrid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880" w:right="0" w:firstLine="2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b/>
                <w:bCs/>
                <w:sz w:val="24"/>
                <w:szCs w:val="24"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Kamenice 798/1 d, 625 00 Brno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545 113 225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IČO: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418" w:val="left"/>
                <w:tab w:leader="underscore" w:pos="4754" w:val="left"/>
              </w:tabs>
              <w:bidi w:val="0"/>
              <w:spacing w:before="0" w:after="0" w:line="240" w:lineRule="auto"/>
              <w:ind w:left="0" w:right="0" w:firstLine="88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00346292</w:t>
              <w:tab/>
              <w:tab/>
              <w:t>_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CZ00346292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28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Zápis v OR:</w:t>
        <w:tab/>
        <w:t>Krajský soud v Brně sp. zn. Pr 1245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Bankovní spojení (číslo účtu): MONETA Money Bank, a.s., č. ú. 117203514/0600</w:t>
      </w:r>
    </w:p>
    <w:p>
      <w:pPr>
        <w:widowControl w:val="0"/>
        <w:spacing w:after="2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(dále jen „kupující“)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a</w:t>
      </w:r>
    </w:p>
    <w:tbl>
      <w:tblPr>
        <w:tblOverlap w:val="never"/>
        <w:jc w:val="left"/>
        <w:tblLayout w:type="fixed"/>
      </w:tblPr>
      <w:tblGrid>
        <w:gridCol w:w="2054"/>
        <w:gridCol w:w="6278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b/>
                <w:bCs/>
                <w:sz w:val="24"/>
                <w:szCs w:val="24"/>
              </w:rPr>
              <w:t>SHAPER s.r.o.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Velflíkova 1428/4, Praha 6 - Dejvice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Jednající: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Karel Šmatalík, jednatel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IČO: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03602605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rStyle w:val="CharStyle13"/>
                <w:sz w:val="24"/>
                <w:szCs w:val="24"/>
              </w:rPr>
              <w:t>CZ03602605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Zápis v OR:</w:t>
        <w:tab/>
        <w:t>Městský soud v Praze, oddíl C, vložka 234406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Bankovní spojení (číslo účtu): Česká spořitelna a.s., č.ú. 5130871309/0800</w:t>
      </w:r>
    </w:p>
    <w:p>
      <w:pPr>
        <w:widowControl w:val="0"/>
        <w:spacing w:after="2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(dále jen „prodávající“)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16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32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Článek 3 smlouvy se mění a nadále zní takto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7"/>
        </w:rPr>
        <w:t>Prodávající se zavazuje splnit svůj závazek k dodání zboží podle čl. 1 této smlouvy nejpozději do 6 týdnů od doručení objednávky, a to v místě splnění tohoto závazku, kterým je sídlo kupujícího.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Ostatní ujednání smlouvy nejsou tímto dodatkem nijak dotčena.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rStyle w:val="CharStyle7"/>
        </w:rPr>
        <w:t>Tento dodatek nabývá platnosti dnem jeho uzavření a účinnosti dnem jeho uveřejnění v příslušném registru smluv podle zákona č. 240/2015 Sb., nejdříve však dnem 1.8.2024.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76" w:right="791" w:bottom="2250" w:left="1361" w:header="248" w:footer="1822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</w:rPr>
        <w:t>Dáno v Brně dne 13.6. 2024 ve dvou originálních písemných vyhotoveních, z nichž každá ze smluvních stran obdrží po jednom.</w:t>
      </w: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3" w:right="0" w:bottom="96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2381" w:h="302" w:wrap="none" w:vAnchor="text" w:hAnchor="page" w:x="2096" w:y="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7"/>
        </w:rPr>
        <w:t>Zdr</w:t>
      </w:r>
      <w:r>
        <w:rPr>
          <w:rStyle w:val="CharStyle17"/>
          <w:color w:val="000000"/>
          <w:shd w:val="clear" w:color="auto" w:fill="000000"/>
        </w:rPr>
        <w:t>.......</w:t>
      </w:r>
      <w:r>
        <w:rPr>
          <w:rStyle w:val="CharStyle17"/>
          <w:color w:val="000000"/>
          <w:spacing w:val="1"/>
          <w:shd w:val="clear" w:color="auto" w:fill="000000"/>
        </w:rPr>
        <w:t>.........</w:t>
      </w:r>
      <w:r>
        <w:rPr>
          <w:rStyle w:val="CharStyle17"/>
          <w:color w:val="000000"/>
          <w:shd w:val="clear" w:color="auto" w:fill="000000"/>
        </w:rPr>
        <w:t>​</w:t>
      </w:r>
      <w:r>
        <w:rPr>
          <w:rStyle w:val="CharStyle17"/>
          <w:color w:val="000000"/>
          <w:spacing w:val="2"/>
          <w:shd w:val="clear" w:color="auto" w:fill="000000"/>
        </w:rPr>
        <w:t>...........</w:t>
      </w:r>
      <w:r>
        <w:rPr>
          <w:rStyle w:val="CharStyle17"/>
          <w:color w:val="000000"/>
          <w:spacing w:val="3"/>
          <w:shd w:val="clear" w:color="auto" w:fill="000000"/>
        </w:rPr>
        <w:t>......</w:t>
      </w:r>
      <w:r>
        <w:rPr>
          <w:rStyle w:val="CharStyle17"/>
          <w:color w:val="000000"/>
          <w:shd w:val="clear" w:color="auto" w:fill="000000"/>
        </w:rPr>
        <w:t>​</w:t>
      </w:r>
      <w:r>
        <w:rPr>
          <w:rStyle w:val="CharStyle17"/>
          <w:color w:val="000000"/>
          <w:spacing w:val="3"/>
          <w:shd w:val="clear" w:color="auto" w:fill="000000"/>
        </w:rPr>
        <w:t>....</w:t>
      </w:r>
      <w:r>
        <w:rPr>
          <w:rStyle w:val="CharStyle17"/>
          <w:color w:val="000000"/>
          <w:spacing w:val="4"/>
          <w:shd w:val="clear" w:color="auto" w:fill="000000"/>
        </w:rPr>
        <w:t>..</w:t>
      </w:r>
    </w:p>
    <w:p>
      <w:pPr>
        <w:pStyle w:val="Style23"/>
        <w:keepNext w:val="0"/>
        <w:keepLines w:val="0"/>
        <w:framePr w:w="2381" w:h="403" w:wrap="none" w:vAnchor="text" w:hAnchor="page" w:x="2096" w:y="783"/>
        <w:widowControl w:val="0"/>
        <w:shd w:val="clear" w:color="auto" w:fill="auto"/>
        <w:tabs>
          <w:tab w:pos="1682" w:val="left"/>
        </w:tabs>
        <w:bidi w:val="0"/>
        <w:spacing w:before="0" w:after="0" w:line="240" w:lineRule="auto"/>
        <w:ind w:left="0" w:right="0"/>
        <w:jc w:val="left"/>
      </w:pPr>
      <w:r>
        <w:rPr>
          <w:rStyle w:val="CharStyle24"/>
          <w:color w:val="000000"/>
          <w:spacing w:val="3"/>
          <w:shd w:val="clear" w:color="auto" w:fill="000000"/>
          <w:vertAlign w:val="superscript"/>
        </w:rPr>
        <w:t>......</w:t>
      </w:r>
      <w:r>
        <w:rPr>
          <w:rStyle w:val="CharStyle24"/>
          <w:color w:val="000000"/>
          <w:spacing w:val="4"/>
          <w:shd w:val="clear" w:color="auto" w:fill="000000"/>
          <w:vertAlign w:val="superscript"/>
        </w:rPr>
        <w:t>...</w:t>
      </w:r>
      <w:r>
        <w:rPr>
          <w:rStyle w:val="CharStyle24"/>
          <w:color w:val="000000"/>
          <w:spacing w:val="1"/>
          <w:shd w:val="clear" w:color="auto" w:fill="000000"/>
        </w:rPr>
        <w:t>.</w:t>
      </w:r>
      <w:r>
        <w:rPr>
          <w:rStyle w:val="CharStyle24"/>
          <w:color w:val="000000"/>
          <w:spacing w:val="2"/>
          <w:shd w:val="clear" w:color="auto" w:fill="000000"/>
        </w:rPr>
        <w:t>......................</w:t>
      </w:r>
      <w:r>
        <w:rPr>
          <w:rStyle w:val="CharStyle24"/>
          <w:color w:val="000000"/>
          <w:spacing w:val="6"/>
          <w:shd w:val="clear" w:color="auto" w:fill="000000"/>
        </w:rPr>
        <w:t>..</w:t>
      </w:r>
      <w:r>
        <w:rPr>
          <w:rStyle w:val="CharStyle24"/>
          <w:color w:val="000000"/>
          <w:spacing w:val="7"/>
          <w:shd w:val="clear" w:color="auto" w:fill="000000"/>
        </w:rPr>
        <w:t>....</w:t>
      </w:r>
      <w:r>
        <w:rPr>
          <w:rStyle w:val="CharStyle24"/>
          <w:color w:val="000000"/>
          <w:shd w:val="clear" w:color="auto" w:fill="000000"/>
        </w:rPr>
        <w:t>​.....</w:t>
      </w:r>
    </w:p>
    <w:p>
      <w:pPr>
        <w:pStyle w:val="Style4"/>
        <w:keepNext w:val="0"/>
        <w:keepLines w:val="0"/>
        <w:framePr w:w="2381" w:h="403" w:wrap="none" w:vAnchor="text" w:hAnchor="page" w:x="2096" w:y="78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5"/>
          <w:spacing w:val="1"/>
          <w:shd w:val="clear" w:color="auto" w:fill="000000"/>
        </w:rPr>
        <w:t>.........</w:t>
      </w:r>
      <w:r>
        <w:rPr>
          <w:rStyle w:val="CharStyle5"/>
          <w:spacing w:val="2"/>
          <w:shd w:val="clear" w:color="auto" w:fill="000000"/>
        </w:rPr>
        <w:t>...</w:t>
      </w:r>
    </w:p>
    <w:p>
      <w:pPr>
        <w:pStyle w:val="Style6"/>
        <w:keepNext w:val="0"/>
        <w:keepLines w:val="0"/>
        <w:framePr w:w="2698" w:h="605" w:wrap="none" w:vAnchor="text" w:hAnchor="page" w:x="1371" w:y="153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7"/>
        </w:rPr>
        <w:t>MUDr. Hana Albrechtová ředitelka</w:t>
      </w:r>
    </w:p>
    <w:p>
      <w:pPr>
        <w:widowControl w:val="0"/>
        <w:spacing w:line="360" w:lineRule="exact"/>
      </w:pPr>
      <w:r>
        <w:drawing>
          <wp:anchor distT="94615" distB="0" distL="368935" distR="0" simplePos="0" relativeHeight="62914690" behindDoc="1" locked="0" layoutInCell="1" allowOverlap="1">
            <wp:simplePos x="0" y="0"/>
            <wp:positionH relativeFrom="page">
              <wp:posOffset>1699260</wp:posOffset>
            </wp:positionH>
            <wp:positionV relativeFrom="paragraph">
              <wp:posOffset>417830</wp:posOffset>
            </wp:positionV>
            <wp:extent cx="1249680" cy="5670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49680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4281170</wp:posOffset>
            </wp:positionH>
            <wp:positionV relativeFrom="paragraph">
              <wp:posOffset>12700</wp:posOffset>
            </wp:positionV>
            <wp:extent cx="1974850" cy="100584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74850" cy="1005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3" w:right="784" w:bottom="9644" w:left="136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1863725</wp:posOffset>
                </wp:positionH>
                <wp:positionV relativeFrom="paragraph">
                  <wp:posOffset>12700</wp:posOffset>
                </wp:positionV>
                <wp:extent cx="628015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sz w:val="24"/>
                                <w:szCs w:val="24"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6.75pt;margin-top:1.pt;width:49.450000000000003pt;height:15.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24"/>
                          <w:szCs w:val="24"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40" w:right="0" w:firstLine="0"/>
        <w:jc w:val="left"/>
        <w:rPr>
          <w:sz w:val="24"/>
          <w:szCs w:val="24"/>
        </w:rPr>
      </w:pPr>
      <w:r>
        <w:rPr>
          <w:rStyle w:val="CharStyle7"/>
          <w:b/>
          <w:bCs/>
          <w:sz w:val="24"/>
          <w:szCs w:val="24"/>
        </w:rPr>
        <w:t>Prodávající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03" w:right="1433" w:bottom="1403" w:left="393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obrázku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72A5CD"/>
      <w:sz w:val="18"/>
      <w:szCs w:val="18"/>
      <w:u w:val="none"/>
    </w:rPr>
  </w:style>
  <w:style w:type="character" w:customStyle="1" w:styleId="CharStyle24">
    <w:name w:val="Základní text (3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72A5CD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line="218" w:lineRule="auto"/>
      <w:ind w:right="11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120" w:line="199" w:lineRule="auto"/>
      <w:ind w:right="5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obrázku"/>
    <w:basedOn w:val="Normal"/>
    <w:link w:val="CharStyle17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2A5CD"/>
      <w:sz w:val="18"/>
      <w:szCs w:val="18"/>
      <w:u w:val="none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2A5CD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