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ACB6" w14:textId="3D960422"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r w:rsidR="00F919A9">
        <w:rPr>
          <w:rFonts w:ascii="Calibri" w:hAnsi="Calibri"/>
          <w:b/>
          <w:caps/>
          <w:sz w:val="32"/>
        </w:rPr>
        <w:tab/>
      </w:r>
      <w:r w:rsidR="00F919A9">
        <w:rPr>
          <w:rFonts w:ascii="Calibri" w:hAnsi="Calibri"/>
          <w:b/>
          <w:caps/>
          <w:sz w:val="32"/>
        </w:rPr>
        <w:tab/>
        <w:t xml:space="preserve">         TSML/24/0036</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Pr="00CA3A45" w:rsidRDefault="004C6192"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77777777"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F23FE1">
        <w:rPr>
          <w:rFonts w:asciiTheme="minorHAnsi" w:hAnsiTheme="minorHAnsi" w:cstheme="minorHAnsi"/>
          <w:b/>
          <w:sz w:val="22"/>
          <w:szCs w:val="22"/>
        </w:rPr>
        <w:t>Technické služby města Liberec, p.o.</w:t>
      </w:r>
      <w:bookmarkEnd w:id="0"/>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1"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1"/>
    </w:p>
    <w:p w14:paraId="3DA8CF89" w14:textId="1D80C973"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 xml:space="preserve">Ing. </w:t>
      </w:r>
      <w:r w:rsidR="007E2867">
        <w:rPr>
          <w:rFonts w:ascii="Calibri" w:hAnsi="Calibri"/>
          <w:sz w:val="22"/>
          <w:szCs w:val="22"/>
        </w:rPr>
        <w:t>Janem Ullmannem</w:t>
      </w:r>
      <w:r w:rsidR="00F23FE1" w:rsidRPr="00A6339B">
        <w:rPr>
          <w:rFonts w:ascii="Calibri" w:hAnsi="Calibri"/>
          <w:sz w:val="22"/>
          <w:szCs w:val="22"/>
        </w:rPr>
        <w:t>, ředitelem</w:t>
      </w:r>
    </w:p>
    <w:p w14:paraId="2EB4AB32" w14:textId="7CDBCBC1"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r>
      <w:r w:rsidR="00083381">
        <w:rPr>
          <w:rFonts w:ascii="Calibri" w:hAnsi="Calibri"/>
          <w:sz w:val="22"/>
          <w:szCs w:val="22"/>
        </w:rPr>
        <w:t>xxxxxxxxxxxxxxxxxxxxxx, xxxxxxxxxxxxxxxxxx</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2" w:name="_Hlk34302523"/>
      <w:r w:rsidR="00D21919">
        <w:rPr>
          <w:rFonts w:ascii="Calibri" w:hAnsi="Calibri"/>
          <w:sz w:val="22"/>
          <w:szCs w:val="22"/>
        </w:rPr>
        <w:tab/>
      </w:r>
      <w:r w:rsidR="00F34349" w:rsidRPr="00A6339B">
        <w:rPr>
          <w:rFonts w:ascii="Calibri" w:hAnsi="Calibri" w:cs="Calibri"/>
          <w:sz w:val="22"/>
          <w:szCs w:val="22"/>
        </w:rPr>
        <w:t>08881545</w:t>
      </w:r>
      <w:bookmarkEnd w:id="2"/>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Pr="0035431E" w:rsidRDefault="008C56EA" w:rsidP="008C56EA">
      <w:pPr>
        <w:rPr>
          <w:rFonts w:ascii="Calibri" w:hAnsi="Calibri"/>
          <w:sz w:val="12"/>
          <w:szCs w:val="14"/>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bookmarkStart w:id="3" w:name="_GoBack"/>
      <w:bookmarkEnd w:id="3"/>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3DCFB5C5" w14:textId="768563B7" w:rsidR="000C4C55" w:rsidRPr="00103C1C" w:rsidRDefault="000C4C55" w:rsidP="000C4C55">
      <w:pPr>
        <w:rPr>
          <w:rFonts w:ascii="Calibri" w:hAnsi="Calibri"/>
          <w:sz w:val="22"/>
        </w:rPr>
      </w:pPr>
      <w:r>
        <w:rPr>
          <w:rFonts w:ascii="Calibri" w:hAnsi="Calibri"/>
          <w:sz w:val="22"/>
        </w:rPr>
        <w:t xml:space="preserve">       </w:t>
      </w:r>
      <w:r w:rsidR="00261240">
        <w:rPr>
          <w:rFonts w:ascii="Calibri" w:hAnsi="Calibri"/>
          <w:sz w:val="22"/>
        </w:rPr>
        <w:t>DS Logistic s.r.o.</w:t>
      </w:r>
    </w:p>
    <w:p w14:paraId="647D2C8B" w14:textId="5C680503"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vedeném </w:t>
      </w:r>
      <w:r>
        <w:rPr>
          <w:rFonts w:ascii="Calibri" w:hAnsi="Calibri"/>
          <w:sz w:val="22"/>
        </w:rPr>
        <w:t xml:space="preserve">spis. zn.: </w:t>
      </w:r>
      <w:r w:rsidR="00261240">
        <w:rPr>
          <w:rFonts w:ascii="Calibri" w:hAnsi="Calibri"/>
          <w:sz w:val="22"/>
        </w:rPr>
        <w:t>Krajský soud v Hradci Králové, C 19689</w:t>
      </w:r>
      <w:r w:rsidR="008E218E">
        <w:rPr>
          <w:rFonts w:ascii="Calibri" w:hAnsi="Calibri"/>
          <w:sz w:val="22"/>
        </w:rPr>
        <w:t xml:space="preserve">                             </w:t>
      </w:r>
    </w:p>
    <w:p w14:paraId="3122B281" w14:textId="68263730"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261240">
        <w:rPr>
          <w:rFonts w:ascii="Calibri" w:hAnsi="Calibri"/>
          <w:sz w:val="22"/>
        </w:rPr>
        <w:t>č. p. 169, 512 03 Libštát</w:t>
      </w:r>
    </w:p>
    <w:p w14:paraId="1B26C8D2" w14:textId="189F8615"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261240">
        <w:rPr>
          <w:rFonts w:ascii="Calibri" w:hAnsi="Calibri"/>
          <w:sz w:val="22"/>
        </w:rPr>
        <w:t>Zdeňkem Kopeckým, jednatelem</w:t>
      </w:r>
    </w:p>
    <w:p w14:paraId="39F2DE7B" w14:textId="546DF81D"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261240">
        <w:rPr>
          <w:rFonts w:ascii="Calibri" w:hAnsi="Calibri"/>
          <w:color w:val="000000"/>
          <w:sz w:val="22"/>
        </w:rPr>
        <w:t>26006928</w:t>
      </w:r>
    </w:p>
    <w:p w14:paraId="354DE562" w14:textId="10959DA4"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261240">
        <w:rPr>
          <w:rFonts w:ascii="Calibri" w:hAnsi="Calibri"/>
          <w:color w:val="000000"/>
          <w:sz w:val="22"/>
        </w:rPr>
        <w:t>CZ26006928</w:t>
      </w:r>
    </w:p>
    <w:p w14:paraId="0865AC22" w14:textId="052551B0" w:rsidR="000C4C55" w:rsidRDefault="000C4C55" w:rsidP="000C4C55">
      <w:pPr>
        <w:ind w:left="360"/>
        <w:rPr>
          <w:rFonts w:ascii="Calibri" w:hAnsi="Calibri"/>
          <w:color w:val="000000"/>
          <w:sz w:val="22"/>
        </w:rPr>
      </w:pPr>
      <w:r w:rsidRPr="00CA3A45">
        <w:rPr>
          <w:rFonts w:ascii="Calibri" w:hAnsi="Calibri"/>
          <w:color w:val="000000"/>
          <w:sz w:val="22"/>
        </w:rPr>
        <w:t>Bankovní spojení:</w:t>
      </w:r>
      <w:r>
        <w:rPr>
          <w:rFonts w:ascii="Calibri" w:hAnsi="Calibri"/>
          <w:color w:val="000000"/>
          <w:sz w:val="22"/>
        </w:rPr>
        <w:t xml:space="preserve"> </w:t>
      </w:r>
      <w:r w:rsidR="00103C1C">
        <w:rPr>
          <w:rFonts w:ascii="Calibri" w:hAnsi="Calibri"/>
          <w:color w:val="000000"/>
          <w:sz w:val="22"/>
        </w:rPr>
        <w:tab/>
      </w:r>
      <w:r w:rsidR="00261240">
        <w:rPr>
          <w:rFonts w:ascii="Calibri" w:hAnsi="Calibri"/>
          <w:color w:val="000000"/>
          <w:sz w:val="22"/>
        </w:rPr>
        <w:t>5946882/0800</w:t>
      </w:r>
    </w:p>
    <w:p w14:paraId="3F894B6D" w14:textId="01BE8D34" w:rsidR="000C4C55" w:rsidRPr="00CA3A45" w:rsidRDefault="000C4C55" w:rsidP="000C4C55">
      <w:pPr>
        <w:ind w:left="360"/>
        <w:rPr>
          <w:rFonts w:ascii="Calibri" w:hAnsi="Calibri"/>
        </w:rPr>
      </w:pPr>
      <w:r w:rsidRPr="00CA3A45">
        <w:rPr>
          <w:rFonts w:ascii="Calibri" w:hAnsi="Calibri"/>
          <w:color w:val="000000"/>
          <w:sz w:val="22"/>
        </w:rPr>
        <w:t>Kontakt</w:t>
      </w:r>
      <w:r w:rsidR="00B06002">
        <w:rPr>
          <w:rFonts w:ascii="Calibri" w:hAnsi="Calibri"/>
          <w:color w:val="000000"/>
          <w:sz w:val="22"/>
        </w:rPr>
        <w:tab/>
      </w:r>
      <w:r w:rsidR="00B06002">
        <w:rPr>
          <w:rFonts w:ascii="Calibri" w:hAnsi="Calibri"/>
          <w:color w:val="000000"/>
          <w:sz w:val="22"/>
        </w:rPr>
        <w:tab/>
      </w:r>
      <w:r w:rsidR="00261240">
        <w:rPr>
          <w:rFonts w:ascii="Calibri" w:hAnsi="Calibri"/>
          <w:color w:val="000000"/>
          <w:sz w:val="22"/>
        </w:rPr>
        <w:t xml:space="preserve">+420 </w:t>
      </w:r>
      <w:r w:rsidR="00261240">
        <w:rPr>
          <w:rFonts w:ascii="Calibri" w:hAnsi="Calibri"/>
          <w:sz w:val="22"/>
        </w:rPr>
        <w:t>606 682 152, kopecky@dslogistic.cz</w:t>
      </w:r>
      <w:r w:rsidR="00103C1C">
        <w:rPr>
          <w:rFonts w:ascii="Calibri" w:hAnsi="Calibri"/>
          <w:sz w:val="22"/>
        </w:rPr>
        <w:t xml:space="preserve">                           </w:t>
      </w:r>
    </w:p>
    <w:p w14:paraId="111F5B7C" w14:textId="77777777" w:rsidR="00B06002" w:rsidRPr="0035431E" w:rsidRDefault="00B06002" w:rsidP="00C317FD">
      <w:pPr>
        <w:rPr>
          <w:rFonts w:ascii="Calibri" w:hAnsi="Calibri"/>
          <w:sz w:val="12"/>
          <w:szCs w:val="14"/>
        </w:rPr>
      </w:pP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7AE2DA20"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s názvem „</w:t>
      </w:r>
      <w:r w:rsidR="003E782A" w:rsidRPr="003E782A">
        <w:rPr>
          <w:rFonts w:ascii="Calibri" w:hAnsi="Calibri"/>
          <w:sz w:val="22"/>
          <w:szCs w:val="22"/>
        </w:rPr>
        <w:t>Vytvoření konsignačního skladu - drcené kamenivo, štěrkodrť</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35431E"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79C61A9E" w14:textId="77777777" w:rsidR="0035431E" w:rsidRPr="0035431E" w:rsidRDefault="0035431E" w:rsidP="0035431E">
      <w:pPr>
        <w:pStyle w:val="Default"/>
        <w:ind w:left="720"/>
        <w:jc w:val="both"/>
        <w:rPr>
          <w:rFonts w:asciiTheme="minorHAnsi" w:hAnsiTheme="minorHAnsi" w:cstheme="minorHAnsi"/>
          <w:sz w:val="12"/>
          <w:szCs w:val="14"/>
        </w:rPr>
      </w:pPr>
    </w:p>
    <w:p w14:paraId="1E8434F6" w14:textId="77777777" w:rsidR="00667CE9" w:rsidRDefault="007554EB" w:rsidP="00667CE9">
      <w:pPr>
        <w:pStyle w:val="Nadpis1"/>
        <w:jc w:val="center"/>
        <w:rPr>
          <w:rFonts w:ascii="Calibri" w:hAnsi="Calibri"/>
        </w:rPr>
      </w:pPr>
      <w:r>
        <w:rPr>
          <w:rFonts w:ascii="Calibri" w:hAnsi="Calibri"/>
        </w:rPr>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224789A4" w14:textId="77777777" w:rsidR="00E3365B" w:rsidRPr="00E3365B" w:rsidRDefault="00284BD2" w:rsidP="001F63FE">
      <w:pPr>
        <w:spacing w:before="120"/>
        <w:jc w:val="both"/>
        <w:rPr>
          <w:rFonts w:asciiTheme="minorHAnsi" w:hAnsiTheme="minorHAnsi" w:cstheme="minorHAnsi"/>
          <w:sz w:val="22"/>
          <w:szCs w:val="22"/>
        </w:rPr>
      </w:pPr>
      <w:r w:rsidRPr="00E3365B">
        <w:rPr>
          <w:rFonts w:ascii="Calibri" w:hAnsi="Calibri"/>
          <w:sz w:val="22"/>
          <w:szCs w:val="22"/>
        </w:rPr>
        <w:t>P</w:t>
      </w:r>
      <w:r w:rsidR="00D56328" w:rsidRPr="00E3365B">
        <w:rPr>
          <w:rFonts w:ascii="Calibri" w:hAnsi="Calibri"/>
          <w:sz w:val="22"/>
          <w:szCs w:val="22"/>
        </w:rPr>
        <w:t xml:space="preserve">ředmětem smlouvy je </w:t>
      </w:r>
      <w:r w:rsidR="00E3365B" w:rsidRPr="00E3365B">
        <w:rPr>
          <w:rFonts w:asciiTheme="minorHAnsi" w:hAnsiTheme="minorHAnsi" w:cstheme="minorHAnsi"/>
          <w:sz w:val="22"/>
          <w:szCs w:val="22"/>
        </w:rPr>
        <w:t>Předmětem plnění veřejné zakázky je vytvoření konsignačního skladu drceného kameniva, a to</w:t>
      </w:r>
    </w:p>
    <w:p w14:paraId="6AF1BBD9" w14:textId="77777777" w:rsidR="00727B6F" w:rsidRPr="00727B6F" w:rsidRDefault="00727B6F" w:rsidP="00727B6F">
      <w:pPr>
        <w:pStyle w:val="Odstavecseseznamem"/>
        <w:numPr>
          <w:ilvl w:val="1"/>
          <w:numId w:val="24"/>
        </w:numPr>
        <w:spacing w:after="0" w:line="240" w:lineRule="auto"/>
        <w:ind w:left="709" w:hanging="425"/>
        <w:jc w:val="both"/>
        <w:rPr>
          <w:rFonts w:cs="Calibri"/>
          <w:color w:val="000000"/>
        </w:rPr>
      </w:pPr>
      <w:r w:rsidRPr="00C6457F">
        <w:rPr>
          <w:rFonts w:cs="Calibri"/>
          <w:color w:val="000000"/>
        </w:rPr>
        <w:lastRenderedPageBreak/>
        <w:t>4/8 MELAFÍR (znělec, čedič)</w:t>
      </w:r>
    </w:p>
    <w:p w14:paraId="56C0534A" w14:textId="77777777" w:rsidR="00727B6F" w:rsidRPr="00C6457F" w:rsidRDefault="00727B6F" w:rsidP="00727B6F">
      <w:pPr>
        <w:pStyle w:val="Odstavecseseznamem"/>
        <w:numPr>
          <w:ilvl w:val="1"/>
          <w:numId w:val="24"/>
        </w:numPr>
        <w:spacing w:after="0" w:line="240" w:lineRule="auto"/>
        <w:ind w:left="709" w:hanging="425"/>
        <w:jc w:val="both"/>
        <w:rPr>
          <w:rFonts w:cs="Calibri"/>
          <w:color w:val="000000"/>
        </w:rPr>
      </w:pPr>
      <w:r w:rsidRPr="00835574">
        <w:rPr>
          <w:rFonts w:cs="Calibri"/>
          <w:color w:val="000000"/>
        </w:rPr>
        <w:t>0/32 ČEDIČ</w:t>
      </w:r>
    </w:p>
    <w:p w14:paraId="2B48279C" w14:textId="77777777" w:rsidR="00727B6F" w:rsidRDefault="00727B6F" w:rsidP="00727B6F">
      <w:pPr>
        <w:pStyle w:val="Odstavecseseznamem"/>
        <w:numPr>
          <w:ilvl w:val="1"/>
          <w:numId w:val="24"/>
        </w:numPr>
        <w:spacing w:after="0" w:line="240" w:lineRule="auto"/>
        <w:ind w:left="709" w:hanging="425"/>
        <w:jc w:val="both"/>
        <w:rPr>
          <w:rFonts w:cs="Calibri"/>
          <w:color w:val="000000"/>
        </w:rPr>
      </w:pPr>
      <w:r w:rsidRPr="00835574">
        <w:rPr>
          <w:rFonts w:cs="Calibri"/>
          <w:color w:val="000000"/>
        </w:rPr>
        <w:t>32/63 MELAFÍR (čedič)</w:t>
      </w:r>
    </w:p>
    <w:p w14:paraId="0A244A77" w14:textId="77777777" w:rsidR="00727B6F" w:rsidRPr="00C6457F" w:rsidRDefault="00727B6F" w:rsidP="00727B6F">
      <w:pPr>
        <w:pStyle w:val="Odstavecseseznamem"/>
        <w:numPr>
          <w:ilvl w:val="1"/>
          <w:numId w:val="24"/>
        </w:numPr>
        <w:spacing w:after="0" w:line="240" w:lineRule="auto"/>
        <w:ind w:left="709" w:hanging="425"/>
        <w:jc w:val="both"/>
        <w:rPr>
          <w:rFonts w:cs="Calibri"/>
          <w:color w:val="000000"/>
        </w:rPr>
      </w:pPr>
      <w:r>
        <w:rPr>
          <w:rFonts w:cs="Calibri"/>
          <w:color w:val="000000"/>
        </w:rPr>
        <w:t>0/63 melafír, čedič</w:t>
      </w:r>
    </w:p>
    <w:p w14:paraId="2D4972F3" w14:textId="77777777" w:rsidR="00727B6F" w:rsidRPr="00C6457F" w:rsidRDefault="00727B6F" w:rsidP="00727B6F">
      <w:pPr>
        <w:pStyle w:val="Odstavecseseznamem"/>
        <w:numPr>
          <w:ilvl w:val="1"/>
          <w:numId w:val="24"/>
        </w:numPr>
        <w:spacing w:after="0" w:line="240" w:lineRule="auto"/>
        <w:ind w:left="709" w:hanging="425"/>
        <w:jc w:val="both"/>
        <w:rPr>
          <w:rFonts w:cs="Calibri"/>
          <w:color w:val="000000"/>
        </w:rPr>
      </w:pPr>
      <w:r w:rsidRPr="00835574">
        <w:rPr>
          <w:rFonts w:cs="Calibri"/>
          <w:color w:val="000000"/>
        </w:rPr>
        <w:t>0/4 čedič</w:t>
      </w:r>
    </w:p>
    <w:p w14:paraId="75CBA532" w14:textId="77777777" w:rsidR="00727B6F" w:rsidRDefault="00727B6F" w:rsidP="00727B6F">
      <w:pPr>
        <w:pStyle w:val="Odstavecseseznamem"/>
        <w:numPr>
          <w:ilvl w:val="1"/>
          <w:numId w:val="24"/>
        </w:numPr>
        <w:spacing w:after="0" w:line="240" w:lineRule="auto"/>
        <w:ind w:left="709" w:hanging="425"/>
        <w:jc w:val="both"/>
        <w:rPr>
          <w:rFonts w:cs="Calibri"/>
          <w:color w:val="000000"/>
        </w:rPr>
      </w:pPr>
      <w:r w:rsidRPr="00835574">
        <w:rPr>
          <w:rFonts w:cs="Calibri"/>
          <w:color w:val="000000"/>
        </w:rPr>
        <w:t>2/4 melafír</w:t>
      </w:r>
    </w:p>
    <w:p w14:paraId="208D75F6" w14:textId="77777777" w:rsidR="00727B6F" w:rsidRPr="00C6457F" w:rsidRDefault="00727B6F" w:rsidP="00727B6F">
      <w:pPr>
        <w:pStyle w:val="Odstavecseseznamem"/>
        <w:numPr>
          <w:ilvl w:val="1"/>
          <w:numId w:val="24"/>
        </w:numPr>
        <w:spacing w:after="0" w:line="240" w:lineRule="auto"/>
        <w:ind w:left="709" w:hanging="425"/>
        <w:jc w:val="both"/>
        <w:rPr>
          <w:rFonts w:cs="Calibri"/>
          <w:color w:val="000000"/>
        </w:rPr>
      </w:pPr>
      <w:r>
        <w:rPr>
          <w:rFonts w:cs="Calibri"/>
          <w:color w:val="000000"/>
        </w:rPr>
        <w:t>2/5 melafír</w:t>
      </w:r>
    </w:p>
    <w:p w14:paraId="6DF32F83" w14:textId="77777777" w:rsidR="00727B6F" w:rsidRDefault="00727B6F" w:rsidP="00727B6F">
      <w:pPr>
        <w:pStyle w:val="Odstavecseseznamem"/>
        <w:numPr>
          <w:ilvl w:val="1"/>
          <w:numId w:val="24"/>
        </w:numPr>
        <w:spacing w:after="0" w:line="240" w:lineRule="auto"/>
        <w:ind w:left="709" w:hanging="425"/>
        <w:jc w:val="both"/>
        <w:rPr>
          <w:rFonts w:cs="Calibri"/>
          <w:color w:val="000000"/>
        </w:rPr>
      </w:pPr>
      <w:r w:rsidRPr="00835574">
        <w:rPr>
          <w:rFonts w:cs="Calibri"/>
          <w:color w:val="000000"/>
        </w:rPr>
        <w:t>0/4 PÍSE</w:t>
      </w:r>
      <w:r>
        <w:rPr>
          <w:rFonts w:cs="Calibri"/>
          <w:color w:val="000000"/>
        </w:rPr>
        <w:t>K</w:t>
      </w:r>
      <w:r w:rsidRPr="00835574">
        <w:rPr>
          <w:rFonts w:cs="Calibri"/>
          <w:color w:val="000000"/>
        </w:rPr>
        <w:t xml:space="preserve"> - atest ČSN13043 -</w:t>
      </w:r>
      <w:r>
        <w:rPr>
          <w:rFonts w:cs="Calibri"/>
          <w:color w:val="000000"/>
        </w:rPr>
        <w:t xml:space="preserve"> </w:t>
      </w:r>
      <w:r w:rsidRPr="00835574">
        <w:rPr>
          <w:rFonts w:cs="Calibri"/>
          <w:color w:val="000000"/>
        </w:rPr>
        <w:t>dětská hřiště</w:t>
      </w:r>
    </w:p>
    <w:p w14:paraId="1D0F31AF" w14:textId="77777777" w:rsidR="00727B6F" w:rsidRPr="00727B6F" w:rsidRDefault="00727B6F" w:rsidP="00727B6F">
      <w:pPr>
        <w:jc w:val="both"/>
        <w:rPr>
          <w:rFonts w:cs="Calibri"/>
          <w:color w:val="000000"/>
          <w:sz w:val="6"/>
          <w:szCs w:val="6"/>
        </w:rPr>
      </w:pPr>
    </w:p>
    <w:p w14:paraId="63802BFF" w14:textId="77777777" w:rsidR="00E3365B" w:rsidRPr="00E3365B" w:rsidRDefault="00E3365B" w:rsidP="00E3365B">
      <w:pPr>
        <w:jc w:val="both"/>
        <w:rPr>
          <w:rFonts w:asciiTheme="minorHAnsi" w:hAnsiTheme="minorHAnsi" w:cstheme="minorHAnsi"/>
          <w:sz w:val="22"/>
          <w:szCs w:val="22"/>
        </w:rPr>
      </w:pPr>
      <w:r w:rsidRPr="00E3365B">
        <w:rPr>
          <w:rFonts w:asciiTheme="minorHAnsi" w:hAnsiTheme="minorHAnsi" w:cstheme="minorHAnsi"/>
          <w:sz w:val="22"/>
          <w:szCs w:val="22"/>
        </w:rPr>
        <w:t>pro potřeby středisek Technických služeb města Liberce, p.o. (dále jen „TSML“). Konsignační sklad bude vytvořen v areálu TSML na adrese Erbenova 376/2, 460 08 Liberec.</w:t>
      </w:r>
    </w:p>
    <w:p w14:paraId="0AB59239" w14:textId="77777777" w:rsidR="00D5683C" w:rsidRDefault="00D5683C" w:rsidP="00CE34B2">
      <w:pPr>
        <w:jc w:val="both"/>
        <w:rPr>
          <w:rFonts w:ascii="Calibri" w:hAnsi="Calibri"/>
          <w:sz w:val="22"/>
          <w:szCs w:val="22"/>
        </w:rPr>
      </w:pPr>
    </w:p>
    <w:p w14:paraId="22F455DE" w14:textId="626FD85B" w:rsidR="00EF6F67" w:rsidRPr="00EF6F67" w:rsidRDefault="00EF6F67" w:rsidP="00EF6F67">
      <w:pPr>
        <w:pStyle w:val="Nadpis1"/>
        <w:jc w:val="center"/>
        <w:rPr>
          <w:rFonts w:ascii="Calibri" w:hAnsi="Calibri"/>
        </w:rPr>
      </w:pPr>
      <w:r w:rsidRPr="00EF6F67">
        <w:rPr>
          <w:rFonts w:ascii="Calibri" w:hAnsi="Calibri"/>
        </w:rPr>
        <w:t xml:space="preserve">Článek II. </w:t>
      </w:r>
    </w:p>
    <w:p w14:paraId="128EF3E0" w14:textId="2F050E63" w:rsidR="00EF6F67" w:rsidRPr="00EF6F67" w:rsidRDefault="00280D3A" w:rsidP="00EF6F67">
      <w:pPr>
        <w:pStyle w:val="Nadpis1"/>
        <w:jc w:val="center"/>
        <w:rPr>
          <w:rFonts w:ascii="Calibri" w:hAnsi="Calibri"/>
        </w:rPr>
      </w:pPr>
      <w:r>
        <w:rPr>
          <w:rFonts w:ascii="Calibri" w:hAnsi="Calibri"/>
        </w:rPr>
        <w:t>M</w:t>
      </w:r>
      <w:r w:rsidR="00EF6F67" w:rsidRPr="00EF6F67">
        <w:rPr>
          <w:rFonts w:ascii="Calibri" w:hAnsi="Calibri"/>
        </w:rPr>
        <w:t xml:space="preserve">ísto splnění </w:t>
      </w:r>
    </w:p>
    <w:p w14:paraId="5B64519D" w14:textId="0F00C4BF" w:rsidR="00EF6F67" w:rsidRPr="003E4D40" w:rsidRDefault="00D10EB2" w:rsidP="00DB3932">
      <w:pPr>
        <w:spacing w:before="120"/>
        <w:jc w:val="both"/>
        <w:rPr>
          <w:rFonts w:asciiTheme="minorHAnsi" w:hAnsiTheme="minorHAnsi" w:cstheme="minorHAnsi"/>
          <w:sz w:val="22"/>
          <w:szCs w:val="22"/>
        </w:rPr>
      </w:pPr>
      <w:r w:rsidRPr="003E4D40">
        <w:rPr>
          <w:rFonts w:ascii="Calibri" w:hAnsi="Calibri"/>
          <w:sz w:val="22"/>
          <w:szCs w:val="22"/>
        </w:rPr>
        <w:t>Sklady Technických služeb města Liberce, p.o.</w:t>
      </w:r>
      <w:r w:rsidR="00131C04" w:rsidRPr="003E4D40">
        <w:rPr>
          <w:rFonts w:ascii="Calibri" w:hAnsi="Calibri"/>
          <w:sz w:val="22"/>
          <w:szCs w:val="22"/>
        </w:rPr>
        <w:t xml:space="preserve">: </w:t>
      </w:r>
      <w:r w:rsidR="00DB3932" w:rsidRPr="003E4D40">
        <w:rPr>
          <w:rFonts w:asciiTheme="minorHAnsi" w:hAnsiTheme="minorHAnsi" w:cstheme="minorHAnsi"/>
          <w:sz w:val="22"/>
          <w:szCs w:val="22"/>
        </w:rPr>
        <w:t>Erbenova 376/2, 460 08 Liberec</w:t>
      </w:r>
      <w:r w:rsidR="003E4D40">
        <w:rPr>
          <w:rFonts w:asciiTheme="minorHAnsi" w:hAnsiTheme="minorHAnsi" w:cstheme="minorHAnsi"/>
          <w:sz w:val="22"/>
          <w:szCs w:val="22"/>
        </w:rPr>
        <w:t>.</w:t>
      </w:r>
    </w:p>
    <w:p w14:paraId="1D6BA92A" w14:textId="77777777" w:rsidR="00220C02" w:rsidRPr="00EF6F67" w:rsidRDefault="00220C02" w:rsidP="00DB3932">
      <w:pPr>
        <w:spacing w:before="120"/>
        <w:jc w:val="both"/>
        <w:rPr>
          <w:rFonts w:eastAsia="Calibri"/>
          <w:color w:val="000000"/>
          <w:sz w:val="23"/>
          <w:szCs w:val="23"/>
        </w:rPr>
      </w:pPr>
    </w:p>
    <w:p w14:paraId="329BC88E" w14:textId="5EC5B4E1" w:rsidR="00EF6F67" w:rsidRPr="00EF6F67" w:rsidRDefault="00EF6F67" w:rsidP="00EF6F67">
      <w:pPr>
        <w:pStyle w:val="Nadpis1"/>
        <w:jc w:val="center"/>
        <w:rPr>
          <w:rFonts w:ascii="Calibri" w:hAnsi="Calibri"/>
        </w:rPr>
      </w:pPr>
      <w:r w:rsidRPr="00EF6F67">
        <w:rPr>
          <w:rFonts w:ascii="Calibri" w:hAnsi="Calibri"/>
        </w:rPr>
        <w:t>Článek I</w:t>
      </w:r>
      <w:r w:rsidR="001A0D4A">
        <w:rPr>
          <w:rFonts w:ascii="Calibri" w:hAnsi="Calibri"/>
        </w:rPr>
        <w:t>II</w:t>
      </w:r>
      <w:r w:rsidRPr="00EF6F67">
        <w:rPr>
          <w:rFonts w:ascii="Calibri" w:hAnsi="Calibri"/>
        </w:rPr>
        <w:t xml:space="preserve">. </w:t>
      </w:r>
    </w:p>
    <w:p w14:paraId="1D69C53B" w14:textId="1F27CEEA" w:rsidR="00EF6F67" w:rsidRPr="00EF6F67" w:rsidRDefault="00724ABA" w:rsidP="00EF6F67">
      <w:pPr>
        <w:pStyle w:val="Nadpis1"/>
        <w:jc w:val="center"/>
        <w:rPr>
          <w:rFonts w:ascii="Calibri" w:hAnsi="Calibri"/>
        </w:rPr>
      </w:pPr>
      <w:r>
        <w:rPr>
          <w:rFonts w:ascii="Calibri" w:hAnsi="Calibri"/>
        </w:rPr>
        <w:t>Termín a množství dodání</w:t>
      </w:r>
    </w:p>
    <w:p w14:paraId="7D44AC54" w14:textId="03F6FBC9" w:rsidR="003D2442" w:rsidRPr="003E4D40" w:rsidRDefault="004C3733" w:rsidP="003E4D40">
      <w:pPr>
        <w:numPr>
          <w:ilvl w:val="0"/>
          <w:numId w:val="7"/>
        </w:numPr>
        <w:tabs>
          <w:tab w:val="clear" w:pos="1005"/>
          <w:tab w:val="num" w:pos="284"/>
        </w:tabs>
        <w:spacing w:before="120"/>
        <w:ind w:left="283" w:hanging="357"/>
        <w:jc w:val="both"/>
        <w:rPr>
          <w:rFonts w:ascii="Calibri" w:hAnsi="Calibri"/>
          <w:sz w:val="22"/>
          <w:szCs w:val="22"/>
        </w:rPr>
      </w:pPr>
      <w:r>
        <w:rPr>
          <w:rFonts w:ascii="Calibri" w:hAnsi="Calibri"/>
          <w:sz w:val="22"/>
          <w:szCs w:val="22"/>
        </w:rPr>
        <w:t xml:space="preserve">Zahájení plnění: </w:t>
      </w:r>
      <w:r w:rsidR="00220C02" w:rsidRPr="003E4D40">
        <w:rPr>
          <w:rFonts w:ascii="Calibri" w:hAnsi="Calibri"/>
          <w:sz w:val="22"/>
          <w:szCs w:val="22"/>
        </w:rPr>
        <w:t>ode dne nabytí</w:t>
      </w:r>
      <w:r w:rsidR="003D2442" w:rsidRPr="003E4D40">
        <w:rPr>
          <w:rFonts w:ascii="Calibri" w:hAnsi="Calibri"/>
          <w:sz w:val="22"/>
          <w:szCs w:val="22"/>
        </w:rPr>
        <w:t xml:space="preserve"> účinnosti této smlouvy dle dílčích objednávek s tím, že dodací lhůta zboží do místa plnění je do </w:t>
      </w:r>
      <w:r w:rsidR="00220C02" w:rsidRPr="003E4D40">
        <w:rPr>
          <w:rFonts w:ascii="Calibri" w:hAnsi="Calibri"/>
          <w:sz w:val="22"/>
          <w:szCs w:val="22"/>
        </w:rPr>
        <w:t xml:space="preserve">2 pracovních dnů </w:t>
      </w:r>
      <w:r w:rsidR="003D2442" w:rsidRPr="003E4D40">
        <w:rPr>
          <w:rFonts w:ascii="Calibri" w:hAnsi="Calibri"/>
          <w:sz w:val="22"/>
          <w:szCs w:val="22"/>
        </w:rPr>
        <w:t>od potvrzení objednávky prodávajícím kupujícímu, nedohodnou-li se smluvní strany prokazatelně jinak.</w:t>
      </w:r>
      <w:r>
        <w:rPr>
          <w:rFonts w:ascii="Calibri" w:hAnsi="Calibri"/>
          <w:sz w:val="22"/>
          <w:szCs w:val="22"/>
        </w:rPr>
        <w:t xml:space="preserve"> Smlouva se uzavírá na dobu neurčitou.</w:t>
      </w:r>
    </w:p>
    <w:p w14:paraId="29B0C147" w14:textId="2CF5CC94" w:rsidR="00B12E5C" w:rsidRPr="003E4D40" w:rsidRDefault="00B12E5C" w:rsidP="00B12E5C">
      <w:pPr>
        <w:numPr>
          <w:ilvl w:val="0"/>
          <w:numId w:val="7"/>
        </w:numPr>
        <w:tabs>
          <w:tab w:val="clear" w:pos="1005"/>
          <w:tab w:val="num" w:pos="284"/>
        </w:tabs>
        <w:ind w:left="284"/>
        <w:jc w:val="both"/>
        <w:rPr>
          <w:rFonts w:ascii="Calibri" w:hAnsi="Calibri"/>
          <w:sz w:val="22"/>
          <w:szCs w:val="22"/>
        </w:rPr>
      </w:pPr>
      <w:r w:rsidRPr="003E4D40">
        <w:rPr>
          <w:rFonts w:ascii="Calibri" w:hAnsi="Calibri"/>
          <w:sz w:val="22"/>
          <w:szCs w:val="22"/>
        </w:rPr>
        <w:t>Konkrétní množství pro každou dodávku, termín a místo dodání bude vždy upřesněno</w:t>
      </w:r>
      <w:r w:rsidR="00BF7D56" w:rsidRPr="003E4D40">
        <w:rPr>
          <w:rFonts w:ascii="Calibri" w:hAnsi="Calibri"/>
          <w:sz w:val="22"/>
          <w:szCs w:val="22"/>
        </w:rPr>
        <w:t xml:space="preserve"> konkrétní objednávkou kupujícího dle potřeb kupujícího.</w:t>
      </w:r>
    </w:p>
    <w:p w14:paraId="5866FA86" w14:textId="01A5D31B" w:rsidR="009F504B" w:rsidRDefault="009F504B" w:rsidP="009F504B">
      <w:pPr>
        <w:jc w:val="both"/>
        <w:rPr>
          <w:rFonts w:ascii="Calibri" w:hAnsi="Calibri"/>
          <w:sz w:val="22"/>
          <w:szCs w:val="22"/>
        </w:rPr>
      </w:pPr>
    </w:p>
    <w:p w14:paraId="3A12AA9E" w14:textId="77777777" w:rsidR="009F504B" w:rsidRPr="00EF6F67" w:rsidRDefault="009F504B" w:rsidP="009F504B">
      <w:pPr>
        <w:pStyle w:val="Nadpis1"/>
        <w:jc w:val="center"/>
        <w:rPr>
          <w:rFonts w:ascii="Calibri" w:hAnsi="Calibri"/>
        </w:rPr>
      </w:pPr>
      <w:r w:rsidRPr="00EF6F67">
        <w:rPr>
          <w:rFonts w:ascii="Calibri" w:hAnsi="Calibri"/>
        </w:rPr>
        <w:t xml:space="preserve">Článek IV. </w:t>
      </w:r>
    </w:p>
    <w:p w14:paraId="79283B26" w14:textId="59FEC6F3" w:rsidR="009F504B" w:rsidRPr="00EF6F67" w:rsidRDefault="009F504B" w:rsidP="009F504B">
      <w:pPr>
        <w:pStyle w:val="Nadpis1"/>
        <w:jc w:val="center"/>
        <w:rPr>
          <w:rFonts w:ascii="Calibri" w:hAnsi="Calibri"/>
        </w:rPr>
      </w:pPr>
      <w:r>
        <w:rPr>
          <w:rFonts w:ascii="Calibri" w:hAnsi="Calibri"/>
        </w:rPr>
        <w:t>Způsob dodání</w:t>
      </w:r>
    </w:p>
    <w:p w14:paraId="1B523FC7" w14:textId="77777777" w:rsidR="00195561" w:rsidRDefault="00734F0A" w:rsidP="00195561">
      <w:pPr>
        <w:numPr>
          <w:ilvl w:val="0"/>
          <w:numId w:val="28"/>
        </w:numPr>
        <w:tabs>
          <w:tab w:val="clear" w:pos="1005"/>
          <w:tab w:val="num" w:pos="284"/>
        </w:tabs>
        <w:spacing w:before="120"/>
        <w:ind w:left="283" w:hanging="357"/>
        <w:jc w:val="both"/>
        <w:rPr>
          <w:rFonts w:ascii="Calibri" w:hAnsi="Calibri"/>
          <w:sz w:val="22"/>
          <w:szCs w:val="22"/>
        </w:rPr>
      </w:pPr>
      <w:r w:rsidRPr="001F63FE">
        <w:rPr>
          <w:rFonts w:ascii="Calibri" w:hAnsi="Calibri"/>
          <w:sz w:val="22"/>
          <w:szCs w:val="22"/>
        </w:rPr>
        <w:t xml:space="preserve">Kamenivo na místo skládek objednatele doveze dodavatel </w:t>
      </w:r>
      <w:r w:rsidR="00BC3FCB" w:rsidRPr="001F63FE">
        <w:rPr>
          <w:rFonts w:ascii="Calibri" w:hAnsi="Calibri"/>
          <w:sz w:val="22"/>
          <w:szCs w:val="22"/>
        </w:rPr>
        <w:t>vozidly</w:t>
      </w:r>
      <w:r w:rsidRPr="001F63FE">
        <w:rPr>
          <w:rFonts w:ascii="Calibri" w:hAnsi="Calibri"/>
          <w:sz w:val="22"/>
          <w:szCs w:val="22"/>
        </w:rPr>
        <w:t xml:space="preserve">, která si na své náklady zajistí a zboží prokazatelně předá. Tím se rozumí vstup do areálu TSML při potvrzení dodacího listu pracovníkem TSML. </w:t>
      </w:r>
    </w:p>
    <w:p w14:paraId="7C1A1234" w14:textId="48DE82F1" w:rsidR="009F504B" w:rsidRPr="001F63FE" w:rsidRDefault="00734F0A" w:rsidP="00195561">
      <w:pPr>
        <w:numPr>
          <w:ilvl w:val="0"/>
          <w:numId w:val="28"/>
        </w:numPr>
        <w:tabs>
          <w:tab w:val="clear" w:pos="1005"/>
          <w:tab w:val="num" w:pos="284"/>
        </w:tabs>
        <w:ind w:left="283" w:hanging="357"/>
        <w:jc w:val="both"/>
        <w:rPr>
          <w:rFonts w:ascii="Calibri" w:hAnsi="Calibri"/>
          <w:sz w:val="22"/>
          <w:szCs w:val="22"/>
        </w:rPr>
      </w:pPr>
      <w:r w:rsidRPr="001F63FE">
        <w:rPr>
          <w:rFonts w:ascii="Calibri" w:hAnsi="Calibri"/>
          <w:sz w:val="22"/>
          <w:szCs w:val="22"/>
        </w:rPr>
        <w:t xml:space="preserve">Na konci každého měsíce provede objednatel </w:t>
      </w:r>
      <w:r w:rsidR="00BC3FCB" w:rsidRPr="001F63FE">
        <w:rPr>
          <w:rFonts w:ascii="Calibri" w:hAnsi="Calibri"/>
          <w:sz w:val="22"/>
          <w:szCs w:val="22"/>
        </w:rPr>
        <w:t>inventarizaci</w:t>
      </w:r>
      <w:r w:rsidRPr="001F63FE">
        <w:rPr>
          <w:rFonts w:ascii="Calibri" w:hAnsi="Calibri"/>
          <w:sz w:val="22"/>
          <w:szCs w:val="22"/>
        </w:rPr>
        <w:t xml:space="preserve"> skládek a předá dodavateli protokol o spotřebě kameniva, který </w:t>
      </w:r>
      <w:r w:rsidR="00BC3FCB" w:rsidRPr="001F63FE">
        <w:rPr>
          <w:rFonts w:ascii="Calibri" w:hAnsi="Calibri"/>
          <w:sz w:val="22"/>
          <w:szCs w:val="22"/>
        </w:rPr>
        <w:t>bude sloužit</w:t>
      </w:r>
      <w:r w:rsidRPr="001F63FE">
        <w:rPr>
          <w:rFonts w:ascii="Calibri" w:hAnsi="Calibri"/>
          <w:sz w:val="22"/>
          <w:szCs w:val="22"/>
        </w:rPr>
        <w:t xml:space="preserve"> jako podklad pro fakturaci.</w:t>
      </w:r>
    </w:p>
    <w:p w14:paraId="1534D233" w14:textId="77777777" w:rsidR="00DF44B1" w:rsidRDefault="00DF44B1" w:rsidP="00DF44B1">
      <w:pPr>
        <w:pStyle w:val="Nadpis1"/>
        <w:jc w:val="center"/>
        <w:rPr>
          <w:rFonts w:ascii="Calibri" w:hAnsi="Calibri"/>
        </w:rPr>
      </w:pPr>
    </w:p>
    <w:p w14:paraId="6CE0452F" w14:textId="65C57228" w:rsidR="00DF44B1" w:rsidRPr="00EF6F67" w:rsidRDefault="00DF44B1" w:rsidP="00DF44B1">
      <w:pPr>
        <w:pStyle w:val="Nadpis1"/>
        <w:jc w:val="center"/>
        <w:rPr>
          <w:rFonts w:ascii="Calibri" w:hAnsi="Calibri"/>
        </w:rPr>
      </w:pPr>
      <w:r w:rsidRPr="00EF6F67">
        <w:rPr>
          <w:rFonts w:ascii="Calibri" w:hAnsi="Calibri"/>
        </w:rPr>
        <w:t xml:space="preserve">Článek V. </w:t>
      </w:r>
    </w:p>
    <w:p w14:paraId="72CAFDC7" w14:textId="34562AB8" w:rsidR="00DF44B1" w:rsidRPr="00EF6F67" w:rsidRDefault="001359C0" w:rsidP="00DF44B1">
      <w:pPr>
        <w:pStyle w:val="Nadpis1"/>
        <w:jc w:val="center"/>
        <w:rPr>
          <w:rFonts w:ascii="Calibri" w:hAnsi="Calibri"/>
        </w:rPr>
      </w:pPr>
      <w:r>
        <w:rPr>
          <w:rFonts w:ascii="Calibri" w:hAnsi="Calibri"/>
        </w:rPr>
        <w:t>Kvalita</w:t>
      </w:r>
    </w:p>
    <w:p w14:paraId="70481FCC" w14:textId="7D988827" w:rsidR="00FA6E96" w:rsidRPr="001F63FE" w:rsidRDefault="00DB3932" w:rsidP="009F504B">
      <w:pPr>
        <w:spacing w:before="120"/>
        <w:jc w:val="both"/>
        <w:rPr>
          <w:rFonts w:ascii="Calibri" w:hAnsi="Calibri"/>
          <w:sz w:val="22"/>
          <w:szCs w:val="22"/>
        </w:rPr>
      </w:pPr>
      <w:r w:rsidRPr="001F63FE">
        <w:rPr>
          <w:rFonts w:ascii="Calibri" w:hAnsi="Calibri"/>
          <w:sz w:val="22"/>
          <w:szCs w:val="22"/>
        </w:rPr>
        <w:t xml:space="preserve">Kvalita kameniva je doložena </w:t>
      </w:r>
      <w:r w:rsidR="00BC3FCB" w:rsidRPr="001F63FE">
        <w:rPr>
          <w:rFonts w:ascii="Calibri" w:hAnsi="Calibri"/>
          <w:sz w:val="22"/>
          <w:szCs w:val="22"/>
        </w:rPr>
        <w:t>P</w:t>
      </w:r>
      <w:r w:rsidRPr="001F63FE">
        <w:rPr>
          <w:rFonts w:ascii="Calibri" w:hAnsi="Calibri"/>
          <w:sz w:val="22"/>
          <w:szCs w:val="22"/>
        </w:rPr>
        <w:t>rohlášením o vlastnostech od výrobce případně křivkou zrnitosti.</w:t>
      </w:r>
    </w:p>
    <w:p w14:paraId="15D6622F" w14:textId="6711B2A0" w:rsidR="00373608" w:rsidRDefault="00F021D7" w:rsidP="00F45752">
      <w:pPr>
        <w:jc w:val="both"/>
        <w:rPr>
          <w:rFonts w:ascii="Calibri" w:hAnsi="Calibri"/>
          <w:sz w:val="22"/>
          <w:szCs w:val="22"/>
        </w:rPr>
      </w:pPr>
      <w:r>
        <w:rPr>
          <w:rFonts w:ascii="Calibri" w:hAnsi="Calibri"/>
          <w:sz w:val="22"/>
          <w:szCs w:val="22"/>
        </w:rPr>
        <w:t xml:space="preserve"> </w:t>
      </w:r>
    </w:p>
    <w:p w14:paraId="3E1E7145" w14:textId="61B8FE44" w:rsidR="00D0167D" w:rsidRPr="00EF6F67" w:rsidRDefault="00D0167D" w:rsidP="00D0167D">
      <w:pPr>
        <w:pStyle w:val="Nadpis1"/>
        <w:jc w:val="center"/>
        <w:rPr>
          <w:rFonts w:ascii="Calibri" w:hAnsi="Calibri"/>
        </w:rPr>
      </w:pPr>
      <w:r w:rsidRPr="00EF6F67">
        <w:rPr>
          <w:rFonts w:ascii="Calibri" w:hAnsi="Calibri"/>
        </w:rPr>
        <w:t>Článek V</w:t>
      </w:r>
      <w:r w:rsidR="001A0D4A">
        <w:rPr>
          <w:rFonts w:ascii="Calibri" w:hAnsi="Calibri"/>
        </w:rPr>
        <w:t>I</w:t>
      </w:r>
      <w:r w:rsidRPr="00EF6F67">
        <w:rPr>
          <w:rFonts w:ascii="Calibri" w:hAnsi="Calibri"/>
        </w:rPr>
        <w:t xml:space="preserve">. </w:t>
      </w:r>
    </w:p>
    <w:p w14:paraId="30EC2AA6" w14:textId="1D578F5E" w:rsidR="00D0167D" w:rsidRPr="00EF6F67" w:rsidRDefault="00D0167D" w:rsidP="00D0167D">
      <w:pPr>
        <w:pStyle w:val="Nadpis1"/>
        <w:jc w:val="center"/>
        <w:rPr>
          <w:rFonts w:ascii="Calibri" w:hAnsi="Calibri"/>
        </w:rPr>
      </w:pPr>
      <w:r>
        <w:rPr>
          <w:rFonts w:ascii="Calibri" w:hAnsi="Calibri"/>
        </w:rPr>
        <w:t>Záruční podmínky</w:t>
      </w:r>
    </w:p>
    <w:p w14:paraId="67A2FB45" w14:textId="05E69AA0" w:rsidR="00D0167D" w:rsidRDefault="00734F0A" w:rsidP="009F504B">
      <w:pPr>
        <w:spacing w:before="120"/>
        <w:jc w:val="both"/>
        <w:rPr>
          <w:rFonts w:ascii="Calibri" w:hAnsi="Calibri"/>
          <w:sz w:val="22"/>
          <w:szCs w:val="22"/>
        </w:rPr>
      </w:pPr>
      <w:r w:rsidRPr="001D4A75">
        <w:rPr>
          <w:rFonts w:ascii="Calibri" w:hAnsi="Calibri"/>
          <w:sz w:val="22"/>
          <w:szCs w:val="22"/>
        </w:rPr>
        <w:t>Materiál bude dodán potřební kvalitě viz. výše a na skladě bude udržovat dostatečné množství kameniva</w:t>
      </w:r>
      <w:r w:rsidR="001F63FE" w:rsidRPr="001D4A75">
        <w:rPr>
          <w:rFonts w:ascii="Calibri" w:hAnsi="Calibri"/>
          <w:sz w:val="22"/>
          <w:szCs w:val="22"/>
        </w:rPr>
        <w:t>:</w:t>
      </w:r>
    </w:p>
    <w:p w14:paraId="7AC6AFDB" w14:textId="33556C8E" w:rsidR="001F63FE" w:rsidRPr="001D4A75" w:rsidRDefault="001F63FE" w:rsidP="001D4A75">
      <w:pPr>
        <w:jc w:val="both"/>
        <w:rPr>
          <w:rFonts w:ascii="Calibri" w:hAnsi="Calibri"/>
          <w:color w:val="70AD47" w:themeColor="accent6"/>
          <w:sz w:val="12"/>
          <w:szCs w:val="12"/>
        </w:rPr>
      </w:pPr>
    </w:p>
    <w:tbl>
      <w:tblPr>
        <w:tblStyle w:val="Mkatabulky1"/>
        <w:tblW w:w="0" w:type="auto"/>
        <w:tblInd w:w="108" w:type="dxa"/>
        <w:tblLook w:val="04A0" w:firstRow="1" w:lastRow="0" w:firstColumn="1" w:lastColumn="0" w:noHBand="0" w:noVBand="1"/>
      </w:tblPr>
      <w:tblGrid>
        <w:gridCol w:w="2522"/>
        <w:gridCol w:w="3215"/>
        <w:gridCol w:w="3215"/>
      </w:tblGrid>
      <w:tr w:rsidR="001D4A75" w:rsidRPr="001D4A75" w14:paraId="4F15E1BE" w14:textId="77777777" w:rsidTr="00FA5525">
        <w:trPr>
          <w:trHeight w:val="340"/>
        </w:trPr>
        <w:tc>
          <w:tcPr>
            <w:tcW w:w="2552" w:type="dxa"/>
            <w:shd w:val="clear" w:color="auto" w:fill="D9D9D9"/>
            <w:vAlign w:val="center"/>
          </w:tcPr>
          <w:p w14:paraId="0AEE2ECE"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Materiál</w:t>
            </w:r>
          </w:p>
        </w:tc>
        <w:tc>
          <w:tcPr>
            <w:tcW w:w="3260" w:type="dxa"/>
            <w:shd w:val="clear" w:color="auto" w:fill="D9D9D9"/>
            <w:vAlign w:val="center"/>
          </w:tcPr>
          <w:p w14:paraId="31882B9D" w14:textId="2402C379" w:rsidR="001D4A75" w:rsidRPr="001D4A75" w:rsidRDefault="001D4A75" w:rsidP="00FA5525">
            <w:pPr>
              <w:contextualSpacing/>
              <w:jc w:val="center"/>
              <w:rPr>
                <w:rFonts w:ascii="Calibri" w:hAnsi="Calibri" w:cs="Calibri"/>
                <w:b/>
                <w:bCs/>
                <w:sz w:val="22"/>
                <w:szCs w:val="22"/>
              </w:rPr>
            </w:pPr>
            <w:r w:rsidRPr="001D4A75">
              <w:rPr>
                <w:rFonts w:ascii="Calibri" w:hAnsi="Calibri" w:cs="Calibri"/>
                <w:b/>
                <w:bCs/>
                <w:sz w:val="22"/>
                <w:szCs w:val="22"/>
              </w:rPr>
              <w:t>Letní limit</w:t>
            </w:r>
            <w:r w:rsidR="00FA5525">
              <w:rPr>
                <w:rFonts w:ascii="Calibri" w:hAnsi="Calibri" w:cs="Calibri"/>
                <w:b/>
                <w:bCs/>
                <w:sz w:val="22"/>
                <w:szCs w:val="22"/>
              </w:rPr>
              <w:t xml:space="preserve"> (</w:t>
            </w:r>
            <w:r w:rsidRPr="001D4A75">
              <w:rPr>
                <w:rFonts w:ascii="Calibri" w:hAnsi="Calibri" w:cs="Calibri"/>
                <w:b/>
                <w:bCs/>
                <w:sz w:val="22"/>
                <w:szCs w:val="22"/>
              </w:rPr>
              <w:t>01.04. - 30.09.</w:t>
            </w:r>
            <w:r w:rsidR="00FA5525">
              <w:rPr>
                <w:rFonts w:ascii="Calibri" w:hAnsi="Calibri" w:cs="Calibri"/>
                <w:b/>
                <w:bCs/>
                <w:sz w:val="22"/>
                <w:szCs w:val="22"/>
              </w:rPr>
              <w:t>)</w:t>
            </w:r>
          </w:p>
        </w:tc>
        <w:tc>
          <w:tcPr>
            <w:tcW w:w="3260" w:type="dxa"/>
            <w:shd w:val="clear" w:color="auto" w:fill="D9D9D9"/>
            <w:vAlign w:val="center"/>
          </w:tcPr>
          <w:p w14:paraId="5CDE1699" w14:textId="6C57779B" w:rsidR="001D4A75" w:rsidRPr="001D4A75" w:rsidRDefault="001D4A75" w:rsidP="00FA5525">
            <w:pPr>
              <w:contextualSpacing/>
              <w:jc w:val="center"/>
              <w:rPr>
                <w:rFonts w:ascii="Calibri" w:hAnsi="Calibri" w:cs="Calibri"/>
                <w:b/>
                <w:bCs/>
                <w:sz w:val="22"/>
                <w:szCs w:val="22"/>
              </w:rPr>
            </w:pPr>
            <w:r w:rsidRPr="001D4A75">
              <w:rPr>
                <w:rFonts w:ascii="Calibri" w:hAnsi="Calibri" w:cs="Calibri"/>
                <w:b/>
                <w:bCs/>
                <w:sz w:val="22"/>
                <w:szCs w:val="22"/>
              </w:rPr>
              <w:t>Zimní limit</w:t>
            </w:r>
            <w:r w:rsidR="00FA5525">
              <w:rPr>
                <w:rFonts w:ascii="Calibri" w:hAnsi="Calibri" w:cs="Calibri"/>
                <w:b/>
                <w:bCs/>
                <w:sz w:val="22"/>
                <w:szCs w:val="22"/>
              </w:rPr>
              <w:t xml:space="preserve"> (</w:t>
            </w:r>
            <w:r w:rsidRPr="001D4A75">
              <w:rPr>
                <w:rFonts w:ascii="Calibri" w:hAnsi="Calibri" w:cs="Calibri"/>
                <w:b/>
                <w:bCs/>
                <w:sz w:val="22"/>
                <w:szCs w:val="22"/>
              </w:rPr>
              <w:t>01.10. - 31.03</w:t>
            </w:r>
            <w:r w:rsidR="00FA5525">
              <w:rPr>
                <w:rFonts w:ascii="Calibri" w:hAnsi="Calibri" w:cs="Calibri"/>
                <w:b/>
                <w:bCs/>
                <w:sz w:val="22"/>
                <w:szCs w:val="22"/>
              </w:rPr>
              <w:t>)</w:t>
            </w:r>
          </w:p>
        </w:tc>
      </w:tr>
      <w:tr w:rsidR="007C6EA0" w:rsidRPr="001D4A75" w14:paraId="4086F15A" w14:textId="77777777" w:rsidTr="00FA5525">
        <w:tc>
          <w:tcPr>
            <w:tcW w:w="2552" w:type="dxa"/>
            <w:vAlign w:val="center"/>
          </w:tcPr>
          <w:p w14:paraId="15822106" w14:textId="4D29266C"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4/8</w:t>
            </w:r>
          </w:p>
        </w:tc>
        <w:tc>
          <w:tcPr>
            <w:tcW w:w="3260" w:type="dxa"/>
            <w:vAlign w:val="center"/>
          </w:tcPr>
          <w:p w14:paraId="3C39A558" w14:textId="1420C7A5"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4</w:t>
            </w:r>
            <w:r w:rsidRPr="007F779B">
              <w:rPr>
                <w:rFonts w:asciiTheme="minorHAnsi" w:hAnsiTheme="minorHAnsi" w:cstheme="minorHAnsi"/>
              </w:rPr>
              <w:t>00</w:t>
            </w:r>
          </w:p>
        </w:tc>
        <w:tc>
          <w:tcPr>
            <w:tcW w:w="3260" w:type="dxa"/>
            <w:vAlign w:val="center"/>
          </w:tcPr>
          <w:p w14:paraId="0A88E35C" w14:textId="039B43BB"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10</w:t>
            </w:r>
            <w:r w:rsidRPr="007F779B">
              <w:rPr>
                <w:rFonts w:asciiTheme="minorHAnsi" w:hAnsiTheme="minorHAnsi" w:cstheme="minorHAnsi"/>
              </w:rPr>
              <w:t>00</w:t>
            </w:r>
          </w:p>
        </w:tc>
      </w:tr>
      <w:tr w:rsidR="007C6EA0" w:rsidRPr="001D4A75" w14:paraId="39065D13" w14:textId="77777777" w:rsidTr="00FA5525">
        <w:tc>
          <w:tcPr>
            <w:tcW w:w="2552" w:type="dxa"/>
            <w:vAlign w:val="center"/>
          </w:tcPr>
          <w:p w14:paraId="13E5D4A0" w14:textId="7751D717"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0/32</w:t>
            </w:r>
          </w:p>
        </w:tc>
        <w:tc>
          <w:tcPr>
            <w:tcW w:w="3260" w:type="dxa"/>
            <w:vAlign w:val="center"/>
          </w:tcPr>
          <w:p w14:paraId="731ACA2D" w14:textId="619AA002"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100</w:t>
            </w:r>
          </w:p>
        </w:tc>
        <w:tc>
          <w:tcPr>
            <w:tcW w:w="3260" w:type="dxa"/>
            <w:vAlign w:val="center"/>
          </w:tcPr>
          <w:p w14:paraId="65CB0832" w14:textId="11D4E3A5"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30</w:t>
            </w:r>
          </w:p>
        </w:tc>
      </w:tr>
      <w:tr w:rsidR="007C6EA0" w:rsidRPr="001D4A75" w14:paraId="569561AF" w14:textId="77777777" w:rsidTr="00FA5525">
        <w:tc>
          <w:tcPr>
            <w:tcW w:w="2552" w:type="dxa"/>
            <w:vAlign w:val="center"/>
          </w:tcPr>
          <w:p w14:paraId="442D85DB" w14:textId="11C86A35"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32/63</w:t>
            </w:r>
          </w:p>
        </w:tc>
        <w:tc>
          <w:tcPr>
            <w:tcW w:w="3260" w:type="dxa"/>
            <w:vAlign w:val="center"/>
          </w:tcPr>
          <w:p w14:paraId="2175083D" w14:textId="037B52AC"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100</w:t>
            </w:r>
          </w:p>
        </w:tc>
        <w:tc>
          <w:tcPr>
            <w:tcW w:w="3260" w:type="dxa"/>
            <w:vAlign w:val="center"/>
          </w:tcPr>
          <w:p w14:paraId="21C9D24C" w14:textId="229070C6"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30</w:t>
            </w:r>
          </w:p>
        </w:tc>
      </w:tr>
      <w:tr w:rsidR="008164F2" w:rsidRPr="001D4A75" w14:paraId="077F74B1" w14:textId="77777777" w:rsidTr="00FA5525">
        <w:tc>
          <w:tcPr>
            <w:tcW w:w="2552" w:type="dxa"/>
            <w:vAlign w:val="center"/>
          </w:tcPr>
          <w:p w14:paraId="3338CC33" w14:textId="082984F6" w:rsidR="008164F2" w:rsidRPr="007F779B" w:rsidRDefault="008164F2" w:rsidP="008164F2">
            <w:pPr>
              <w:contextualSpacing/>
              <w:jc w:val="center"/>
              <w:rPr>
                <w:rFonts w:asciiTheme="minorHAnsi" w:hAnsiTheme="minorHAnsi" w:cstheme="minorHAnsi"/>
              </w:rPr>
            </w:pPr>
            <w:r>
              <w:rPr>
                <w:rFonts w:asciiTheme="minorHAnsi" w:hAnsiTheme="minorHAnsi" w:cstheme="minorHAnsi"/>
              </w:rPr>
              <w:t>0</w:t>
            </w:r>
            <w:r w:rsidRPr="007F779B">
              <w:rPr>
                <w:rFonts w:asciiTheme="minorHAnsi" w:hAnsiTheme="minorHAnsi" w:cstheme="minorHAnsi"/>
              </w:rPr>
              <w:t>/63</w:t>
            </w:r>
          </w:p>
        </w:tc>
        <w:tc>
          <w:tcPr>
            <w:tcW w:w="3260" w:type="dxa"/>
            <w:vAlign w:val="center"/>
          </w:tcPr>
          <w:p w14:paraId="24FE8CA8" w14:textId="070B9986" w:rsidR="008164F2" w:rsidRPr="007F779B" w:rsidRDefault="008164F2" w:rsidP="008164F2">
            <w:pPr>
              <w:contextualSpacing/>
              <w:jc w:val="center"/>
              <w:rPr>
                <w:rFonts w:asciiTheme="minorHAnsi" w:hAnsiTheme="minorHAnsi" w:cstheme="minorHAnsi"/>
              </w:rPr>
            </w:pPr>
            <w:r w:rsidRPr="007F779B">
              <w:rPr>
                <w:rFonts w:asciiTheme="minorHAnsi" w:hAnsiTheme="minorHAnsi" w:cstheme="minorHAnsi"/>
              </w:rPr>
              <w:t>100</w:t>
            </w:r>
          </w:p>
        </w:tc>
        <w:tc>
          <w:tcPr>
            <w:tcW w:w="3260" w:type="dxa"/>
            <w:vAlign w:val="center"/>
          </w:tcPr>
          <w:p w14:paraId="5466D17C" w14:textId="630D4EC4" w:rsidR="008164F2" w:rsidRDefault="008164F2" w:rsidP="008164F2">
            <w:pPr>
              <w:contextualSpacing/>
              <w:jc w:val="center"/>
              <w:rPr>
                <w:rFonts w:asciiTheme="minorHAnsi" w:hAnsiTheme="minorHAnsi" w:cstheme="minorHAnsi"/>
              </w:rPr>
            </w:pPr>
            <w:r w:rsidRPr="007F779B">
              <w:rPr>
                <w:rFonts w:asciiTheme="minorHAnsi" w:hAnsiTheme="minorHAnsi" w:cstheme="minorHAnsi"/>
              </w:rPr>
              <w:t>30</w:t>
            </w:r>
          </w:p>
        </w:tc>
      </w:tr>
      <w:tr w:rsidR="007C6EA0" w:rsidRPr="001D4A75" w14:paraId="5D1F269C" w14:textId="77777777" w:rsidTr="00FA5525">
        <w:tc>
          <w:tcPr>
            <w:tcW w:w="2552" w:type="dxa"/>
            <w:vAlign w:val="center"/>
          </w:tcPr>
          <w:p w14:paraId="3BD159A1" w14:textId="1EE5BE94"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0/4</w:t>
            </w:r>
          </w:p>
        </w:tc>
        <w:tc>
          <w:tcPr>
            <w:tcW w:w="3260" w:type="dxa"/>
            <w:vAlign w:val="center"/>
          </w:tcPr>
          <w:p w14:paraId="69685445" w14:textId="4742D683"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30</w:t>
            </w:r>
          </w:p>
        </w:tc>
        <w:tc>
          <w:tcPr>
            <w:tcW w:w="3260" w:type="dxa"/>
            <w:vAlign w:val="center"/>
          </w:tcPr>
          <w:p w14:paraId="6275D2A6" w14:textId="3E6779D7"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30</w:t>
            </w:r>
          </w:p>
        </w:tc>
      </w:tr>
      <w:tr w:rsidR="007C6EA0" w:rsidRPr="001D4A75" w14:paraId="197491A5" w14:textId="77777777" w:rsidTr="00FA5525">
        <w:tc>
          <w:tcPr>
            <w:tcW w:w="2552" w:type="dxa"/>
            <w:vAlign w:val="center"/>
          </w:tcPr>
          <w:p w14:paraId="0F1915A0" w14:textId="53D79889"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2/4</w:t>
            </w:r>
          </w:p>
        </w:tc>
        <w:tc>
          <w:tcPr>
            <w:tcW w:w="3260" w:type="dxa"/>
            <w:vAlign w:val="center"/>
          </w:tcPr>
          <w:p w14:paraId="505F64A1" w14:textId="5467AD7A"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30</w:t>
            </w:r>
          </w:p>
        </w:tc>
        <w:tc>
          <w:tcPr>
            <w:tcW w:w="3260" w:type="dxa"/>
            <w:vAlign w:val="center"/>
          </w:tcPr>
          <w:p w14:paraId="76A45598" w14:textId="7A73C432"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30</w:t>
            </w:r>
          </w:p>
        </w:tc>
      </w:tr>
      <w:tr w:rsidR="007C6EA0" w:rsidRPr="001D4A75" w14:paraId="2D1BCB1A" w14:textId="77777777" w:rsidTr="00FA5525">
        <w:tc>
          <w:tcPr>
            <w:tcW w:w="2552" w:type="dxa"/>
          </w:tcPr>
          <w:p w14:paraId="4EB90AC8" w14:textId="463ABCDB"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2/5</w:t>
            </w:r>
          </w:p>
        </w:tc>
        <w:tc>
          <w:tcPr>
            <w:tcW w:w="3260" w:type="dxa"/>
          </w:tcPr>
          <w:p w14:paraId="2BDF6DFA" w14:textId="566BFFCA" w:rsidR="007C6EA0" w:rsidRPr="001D4A75" w:rsidRDefault="007C6EA0" w:rsidP="007C6EA0">
            <w:pPr>
              <w:contextualSpacing/>
              <w:jc w:val="center"/>
              <w:rPr>
                <w:rFonts w:ascii="Calibri" w:hAnsi="Calibri" w:cs="Calibri"/>
                <w:sz w:val="22"/>
                <w:szCs w:val="22"/>
              </w:rPr>
            </w:pPr>
            <w:r w:rsidRPr="007F779B">
              <w:rPr>
                <w:rFonts w:asciiTheme="minorHAnsi" w:hAnsiTheme="minorHAnsi" w:cstheme="minorHAnsi"/>
              </w:rPr>
              <w:t>30</w:t>
            </w:r>
          </w:p>
        </w:tc>
        <w:tc>
          <w:tcPr>
            <w:tcW w:w="3260" w:type="dxa"/>
          </w:tcPr>
          <w:p w14:paraId="358AE910" w14:textId="0840C73F"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30</w:t>
            </w:r>
          </w:p>
        </w:tc>
      </w:tr>
      <w:tr w:rsidR="007C6EA0" w:rsidRPr="001D4A75" w14:paraId="693A4B35" w14:textId="77777777" w:rsidTr="00FA5525">
        <w:tc>
          <w:tcPr>
            <w:tcW w:w="2552" w:type="dxa"/>
          </w:tcPr>
          <w:p w14:paraId="1E4B7871" w14:textId="38286DB7"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0/4</w:t>
            </w:r>
          </w:p>
        </w:tc>
        <w:tc>
          <w:tcPr>
            <w:tcW w:w="3260" w:type="dxa"/>
          </w:tcPr>
          <w:p w14:paraId="50585247" w14:textId="0205D74E"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30</w:t>
            </w:r>
          </w:p>
        </w:tc>
        <w:tc>
          <w:tcPr>
            <w:tcW w:w="3260" w:type="dxa"/>
          </w:tcPr>
          <w:p w14:paraId="675955B7" w14:textId="35218C4D" w:rsidR="007C6EA0" w:rsidRPr="001D4A75" w:rsidRDefault="007C6EA0" w:rsidP="007C6EA0">
            <w:pPr>
              <w:contextualSpacing/>
              <w:jc w:val="center"/>
              <w:rPr>
                <w:rFonts w:ascii="Calibri" w:hAnsi="Calibri" w:cs="Calibri"/>
                <w:sz w:val="22"/>
                <w:szCs w:val="22"/>
              </w:rPr>
            </w:pPr>
            <w:r>
              <w:rPr>
                <w:rFonts w:asciiTheme="minorHAnsi" w:hAnsiTheme="minorHAnsi" w:cstheme="minorHAnsi"/>
              </w:rPr>
              <w:t>0</w:t>
            </w:r>
          </w:p>
        </w:tc>
      </w:tr>
    </w:tbl>
    <w:p w14:paraId="2A588EA4" w14:textId="240C1F80" w:rsidR="00EF6F67" w:rsidRPr="00EF6F67" w:rsidRDefault="00EF6F67" w:rsidP="002A5D8C">
      <w:pPr>
        <w:pStyle w:val="Nadpis1"/>
        <w:jc w:val="center"/>
        <w:rPr>
          <w:rFonts w:ascii="Calibri" w:hAnsi="Calibri"/>
        </w:rPr>
      </w:pPr>
      <w:r w:rsidRPr="00EF6F67">
        <w:rPr>
          <w:rFonts w:ascii="Calibri" w:hAnsi="Calibri"/>
        </w:rPr>
        <w:lastRenderedPageBreak/>
        <w:t>Článek V</w:t>
      </w:r>
      <w:r w:rsidR="001A0D4A">
        <w:rPr>
          <w:rFonts w:ascii="Calibri" w:hAnsi="Calibri"/>
        </w:rPr>
        <w:t>I</w:t>
      </w:r>
      <w:r w:rsidRPr="00EF6F67">
        <w:rPr>
          <w:rFonts w:ascii="Calibri" w:hAnsi="Calibri"/>
        </w:rPr>
        <w:t xml:space="preserve">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916534">
      <w:pPr>
        <w:numPr>
          <w:ilvl w:val="0"/>
          <w:numId w:val="10"/>
        </w:numPr>
        <w:tabs>
          <w:tab w:val="clear" w:pos="1005"/>
          <w:tab w:val="num" w:pos="284"/>
        </w:tabs>
        <w:spacing w:before="60"/>
        <w:ind w:left="283" w:hanging="357"/>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Pr="0035206B" w:rsidRDefault="00EF6F67" w:rsidP="003F6D08">
      <w:pPr>
        <w:numPr>
          <w:ilvl w:val="0"/>
          <w:numId w:val="10"/>
        </w:numPr>
        <w:ind w:left="284"/>
        <w:jc w:val="both"/>
        <w:rPr>
          <w:rFonts w:ascii="Calibri" w:hAnsi="Calibri"/>
          <w:sz w:val="22"/>
          <w:szCs w:val="22"/>
        </w:rPr>
      </w:pPr>
      <w:r w:rsidRPr="0035206B">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916534" w:rsidRDefault="002A5D8C" w:rsidP="004C5747">
      <w:pPr>
        <w:tabs>
          <w:tab w:val="num" w:pos="284"/>
        </w:tabs>
        <w:ind w:left="284"/>
        <w:jc w:val="both"/>
        <w:rPr>
          <w:rFonts w:ascii="Calibri" w:hAnsi="Calibri"/>
          <w:sz w:val="12"/>
          <w:szCs w:val="12"/>
        </w:rPr>
      </w:pPr>
    </w:p>
    <w:p w14:paraId="731D3320" w14:textId="32AF9D65" w:rsidR="004C5747" w:rsidRDefault="00EF6F67" w:rsidP="004C5747">
      <w:pPr>
        <w:pStyle w:val="Nadpis1"/>
        <w:jc w:val="center"/>
        <w:rPr>
          <w:rFonts w:ascii="Calibri" w:hAnsi="Calibri"/>
        </w:rPr>
      </w:pPr>
      <w:r w:rsidRPr="00EF6F67">
        <w:rPr>
          <w:rFonts w:ascii="Calibri" w:hAnsi="Calibri"/>
        </w:rPr>
        <w:t>Článek V</w:t>
      </w:r>
      <w:r w:rsidR="001A0D4A">
        <w:rPr>
          <w:rFonts w:ascii="Calibri" w:hAnsi="Calibri"/>
        </w:rPr>
        <w:t>I</w:t>
      </w:r>
      <w:r w:rsidRPr="00EF6F67">
        <w:rPr>
          <w:rFonts w:ascii="Calibri" w:hAnsi="Calibri"/>
        </w:rPr>
        <w:t xml:space="preserve">II. </w:t>
      </w:r>
    </w:p>
    <w:p w14:paraId="423F4B69" w14:textId="252DFF00" w:rsidR="00EF6F67" w:rsidRDefault="00EF6F67" w:rsidP="004C5747">
      <w:pPr>
        <w:pStyle w:val="Nadpis1"/>
        <w:jc w:val="center"/>
        <w:rPr>
          <w:rFonts w:ascii="Calibri" w:hAnsi="Calibri"/>
        </w:rPr>
      </w:pPr>
      <w:r w:rsidRPr="00EF6F67">
        <w:rPr>
          <w:rFonts w:ascii="Calibri" w:hAnsi="Calibri"/>
        </w:rPr>
        <w:t xml:space="preserve">Kupní cena a platební podmínky </w:t>
      </w:r>
    </w:p>
    <w:p w14:paraId="3A5203CB" w14:textId="2F3CCB84" w:rsidR="00F919A9" w:rsidRDefault="00F919A9" w:rsidP="00916534">
      <w:pPr>
        <w:numPr>
          <w:ilvl w:val="0"/>
          <w:numId w:val="22"/>
        </w:numPr>
        <w:tabs>
          <w:tab w:val="clear" w:pos="1005"/>
        </w:tabs>
        <w:spacing w:before="60"/>
        <w:ind w:left="284" w:hanging="284"/>
        <w:jc w:val="both"/>
        <w:rPr>
          <w:rFonts w:ascii="Calibri" w:hAnsi="Calibri"/>
          <w:sz w:val="22"/>
          <w:szCs w:val="22"/>
        </w:rPr>
      </w:pPr>
      <w:r>
        <w:rPr>
          <w:rFonts w:ascii="Calibri" w:hAnsi="Calibri"/>
          <w:sz w:val="22"/>
          <w:szCs w:val="22"/>
        </w:rPr>
        <w:t>Maximální objem 10 000.000 Kč bez DPH na základě VZ /24/2026.</w:t>
      </w:r>
    </w:p>
    <w:p w14:paraId="1B0E1512" w14:textId="64195155" w:rsidR="00E72F66" w:rsidRDefault="00F919A9" w:rsidP="00916534">
      <w:pPr>
        <w:numPr>
          <w:ilvl w:val="0"/>
          <w:numId w:val="22"/>
        </w:numPr>
        <w:tabs>
          <w:tab w:val="clear" w:pos="1005"/>
        </w:tabs>
        <w:spacing w:before="60"/>
        <w:ind w:left="284" w:hanging="284"/>
        <w:jc w:val="both"/>
        <w:rPr>
          <w:rFonts w:ascii="Calibri" w:hAnsi="Calibri"/>
          <w:sz w:val="22"/>
          <w:szCs w:val="22"/>
        </w:rPr>
      </w:pPr>
      <w:r>
        <w:rPr>
          <w:rFonts w:ascii="Calibri" w:hAnsi="Calibri"/>
          <w:sz w:val="22"/>
          <w:szCs w:val="22"/>
        </w:rPr>
        <w:t xml:space="preserve"> </w:t>
      </w:r>
      <w:r w:rsidR="00D54D53" w:rsidRPr="00F325AF">
        <w:rPr>
          <w:rFonts w:ascii="Calibri" w:hAnsi="Calibri"/>
          <w:sz w:val="22"/>
          <w:szCs w:val="22"/>
        </w:rPr>
        <w:t xml:space="preserve">Cena za 1 t </w:t>
      </w:r>
      <w:r w:rsidR="00F325AF" w:rsidRPr="00F325AF">
        <w:rPr>
          <w:rFonts w:ascii="Calibri" w:hAnsi="Calibri"/>
          <w:sz w:val="22"/>
          <w:szCs w:val="22"/>
        </w:rPr>
        <w:t xml:space="preserve">včetně dopravy do </w:t>
      </w:r>
      <w:r w:rsidR="00885F97">
        <w:rPr>
          <w:rFonts w:ascii="Calibri" w:hAnsi="Calibri"/>
          <w:sz w:val="22"/>
          <w:szCs w:val="22"/>
        </w:rPr>
        <w:t xml:space="preserve">konsignačního </w:t>
      </w:r>
      <w:r w:rsidR="00F325AF" w:rsidRPr="00F325AF">
        <w:rPr>
          <w:rFonts w:ascii="Calibri" w:hAnsi="Calibri"/>
          <w:sz w:val="22"/>
          <w:szCs w:val="22"/>
        </w:rPr>
        <w:t>skladu:</w:t>
      </w:r>
    </w:p>
    <w:p w14:paraId="2231E2D0" w14:textId="274E33E1" w:rsidR="00885F97" w:rsidRPr="00EF6F67" w:rsidRDefault="00BD631F" w:rsidP="00187F72">
      <w:pPr>
        <w:pStyle w:val="Odstavecseseznamem"/>
        <w:autoSpaceDE w:val="0"/>
        <w:autoSpaceDN w:val="0"/>
        <w:adjustRightInd w:val="0"/>
        <w:spacing w:after="0" w:line="240" w:lineRule="auto"/>
        <w:ind w:left="1004" w:firstLine="414"/>
        <w:rPr>
          <w:rFonts w:asciiTheme="minorHAnsi" w:hAnsiTheme="minorHAnsi" w:cstheme="minorHAnsi"/>
          <w:color w:val="000000"/>
          <w:szCs w:val="23"/>
        </w:rPr>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A6F03F" w14:textId="6DF86CF0" w:rsidR="00EF6F67" w:rsidRP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w:t>
      </w:r>
    </w:p>
    <w:p w14:paraId="535B7388" w14:textId="77777777" w:rsidR="00EF6F67" w:rsidRP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6A19645" w:rsidR="00EF6F67" w:rsidRPr="0035206B" w:rsidRDefault="00DD366B" w:rsidP="00A87999">
      <w:pPr>
        <w:numPr>
          <w:ilvl w:val="0"/>
          <w:numId w:val="22"/>
        </w:numPr>
        <w:tabs>
          <w:tab w:val="clear" w:pos="1005"/>
        </w:tabs>
        <w:ind w:left="284" w:hanging="284"/>
        <w:jc w:val="both"/>
        <w:rPr>
          <w:rFonts w:ascii="Calibri" w:hAnsi="Calibri"/>
          <w:sz w:val="22"/>
          <w:szCs w:val="22"/>
        </w:rPr>
      </w:pPr>
      <w:r w:rsidRPr="00A87999">
        <w:rPr>
          <w:rFonts w:ascii="Calibri" w:hAnsi="Calibri"/>
          <w:sz w:val="22"/>
          <w:szCs w:val="22"/>
        </w:rPr>
        <w:t>Fakturace bude prováděna s měsíční periodicitou</w:t>
      </w:r>
      <w:r w:rsidR="00BC1669" w:rsidRPr="00A87999">
        <w:rPr>
          <w:rFonts w:ascii="Calibri" w:hAnsi="Calibri"/>
          <w:sz w:val="22"/>
          <w:szCs w:val="22"/>
        </w:rPr>
        <w:t xml:space="preserve"> dle předaného</w:t>
      </w:r>
      <w:r w:rsidR="00BC1669" w:rsidRPr="0035206B">
        <w:rPr>
          <w:rFonts w:ascii="Calibri" w:hAnsi="Calibri"/>
          <w:sz w:val="22"/>
          <w:szCs w:val="22"/>
        </w:rPr>
        <w:t xml:space="preserve"> protokolu o spotřebě kameniva. </w:t>
      </w:r>
      <w:r w:rsidR="00EF6F67" w:rsidRPr="0035206B">
        <w:rPr>
          <w:rFonts w:ascii="Calibri" w:hAnsi="Calibri"/>
          <w:sz w:val="22"/>
          <w:szCs w:val="22"/>
        </w:rPr>
        <w:t xml:space="preserve">Faktura (daňový doklad) je splatná </w:t>
      </w:r>
      <w:r w:rsidR="00BD631F">
        <w:rPr>
          <w:rFonts w:ascii="Calibri" w:hAnsi="Calibri"/>
          <w:sz w:val="22"/>
          <w:szCs w:val="22"/>
        </w:rPr>
        <w:t>xxxxxxxxxxxxxxxxxxxxxxxxxxxxxxxxxxxxxxxxxxxxxxxxxxxxxxxxxx</w:t>
      </w:r>
      <w:r w:rsidR="00EF6F67" w:rsidRPr="0035206B">
        <w:rPr>
          <w:rFonts w:ascii="Calibri" w:hAnsi="Calibri"/>
          <w:sz w:val="22"/>
          <w:szCs w:val="22"/>
        </w:rPr>
        <w:t xml:space="preserve">. </w:t>
      </w:r>
    </w:p>
    <w:p w14:paraId="2AA18569" w14:textId="77777777" w:rsidR="00EF6F67" w:rsidRP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44EE0D53" w:rsidR="00EF6F67" w:rsidRP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lastRenderedPageBreak/>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29E07CF2" w:rsidR="00EF6F67" w:rsidRDefault="00EF6F67" w:rsidP="00A87999">
      <w:pPr>
        <w:numPr>
          <w:ilvl w:val="0"/>
          <w:numId w:val="22"/>
        </w:numPr>
        <w:tabs>
          <w:tab w:val="clear" w:pos="1005"/>
        </w:tabs>
        <w:ind w:left="284" w:hanging="284"/>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52A5E680" w14:textId="3F580944" w:rsidR="00466DB4" w:rsidRPr="00916534" w:rsidRDefault="00466DB4" w:rsidP="00466DB4">
      <w:pPr>
        <w:ind w:left="284"/>
        <w:jc w:val="both"/>
        <w:rPr>
          <w:rFonts w:ascii="Calibri" w:hAnsi="Calibri"/>
          <w:sz w:val="16"/>
          <w:szCs w:val="16"/>
        </w:rPr>
      </w:pPr>
    </w:p>
    <w:p w14:paraId="221E1104" w14:textId="77777777" w:rsidR="00446DB5" w:rsidRDefault="00446DB5" w:rsidP="00446DB5">
      <w:pPr>
        <w:pStyle w:val="Nadpis1"/>
        <w:jc w:val="center"/>
        <w:rPr>
          <w:rFonts w:ascii="Calibri" w:hAnsi="Calibri"/>
        </w:rPr>
      </w:pPr>
      <w:r w:rsidRPr="00446DB5">
        <w:rPr>
          <w:rFonts w:ascii="Calibri" w:hAnsi="Calibri"/>
        </w:rPr>
        <w:t>Článek IX.</w:t>
      </w:r>
    </w:p>
    <w:p w14:paraId="4F55FDF4" w14:textId="31AF034B" w:rsidR="00446DB5" w:rsidRPr="00446DB5" w:rsidRDefault="00446DB5" w:rsidP="00916534">
      <w:pPr>
        <w:pStyle w:val="Nadpis1"/>
        <w:spacing w:after="60"/>
        <w:jc w:val="center"/>
        <w:rPr>
          <w:rFonts w:ascii="Calibri" w:hAnsi="Calibri"/>
        </w:rPr>
      </w:pPr>
      <w:r w:rsidRPr="00446DB5">
        <w:rPr>
          <w:rFonts w:ascii="Calibri" w:hAnsi="Calibri"/>
        </w:rPr>
        <w:t xml:space="preserve">Změna ceny za dílo </w:t>
      </w:r>
    </w:p>
    <w:p w14:paraId="30FC520F" w14:textId="111E12DD"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Cenu za dílo dle článku VIII. odst. 1 této smlouvy lze měnit na základě uzavřeného písemného dodatku ke smlouvě, avšak pouze v důsledku změny míry inflace zjištěné podle oficiálních údajů ČSÚ za uplynulý kalendářní rok</w:t>
      </w:r>
      <w:r w:rsidR="005B5C45">
        <w:rPr>
          <w:rFonts w:ascii="Calibri" w:hAnsi="Calibri"/>
          <w:sz w:val="22"/>
          <w:szCs w:val="22"/>
        </w:rPr>
        <w:t>.</w:t>
      </w:r>
      <w:r w:rsidRPr="00446DB5">
        <w:rPr>
          <w:rFonts w:ascii="Calibri" w:hAnsi="Calibri"/>
          <w:sz w:val="22"/>
          <w:szCs w:val="22"/>
        </w:rPr>
        <w:t xml:space="preserve"> </w:t>
      </w:r>
    </w:p>
    <w:p w14:paraId="5AE4C9D0" w14:textId="0E12A061"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 xml:space="preserve">Cenu za dílo ani jednotkové ceny nelze podle tohoto článku měnit dříve, než po uplynutí prvních 12 měsíců od zahájení plnění dle této smlouvy </w:t>
      </w:r>
      <w:r w:rsidR="005B5C45">
        <w:rPr>
          <w:rFonts w:ascii="Calibri" w:hAnsi="Calibri"/>
          <w:sz w:val="22"/>
          <w:szCs w:val="22"/>
        </w:rPr>
        <w:t>dodavatelem</w:t>
      </w:r>
      <w:r w:rsidRPr="00446DB5">
        <w:rPr>
          <w:rFonts w:ascii="Calibri" w:hAnsi="Calibri"/>
          <w:sz w:val="22"/>
          <w:szCs w:val="22"/>
        </w:rPr>
        <w:t xml:space="preserve">. </w:t>
      </w:r>
    </w:p>
    <w:p w14:paraId="400A0126" w14:textId="1867E8FC" w:rsidR="00446DB5" w:rsidRPr="00195945" w:rsidRDefault="00195945" w:rsidP="00E46E00">
      <w:pPr>
        <w:numPr>
          <w:ilvl w:val="0"/>
          <w:numId w:val="26"/>
        </w:numPr>
        <w:tabs>
          <w:tab w:val="clear" w:pos="1005"/>
          <w:tab w:val="num" w:pos="284"/>
        </w:tabs>
        <w:ind w:left="284" w:hanging="284"/>
        <w:jc w:val="both"/>
        <w:rPr>
          <w:rFonts w:ascii="Calibri" w:hAnsi="Calibri"/>
          <w:sz w:val="22"/>
          <w:szCs w:val="22"/>
        </w:rPr>
      </w:pPr>
      <w:r>
        <w:rPr>
          <w:rFonts w:ascii="Calibri" w:hAnsi="Calibri"/>
          <w:sz w:val="22"/>
          <w:szCs w:val="22"/>
        </w:rPr>
        <w:t>J</w:t>
      </w:r>
      <w:r w:rsidR="00446DB5" w:rsidRPr="00195945">
        <w:rPr>
          <w:rFonts w:ascii="Calibri" w:hAnsi="Calibri"/>
          <w:sz w:val="22"/>
          <w:szCs w:val="22"/>
        </w:rPr>
        <w:t>ednotkov</w:t>
      </w:r>
      <w:r>
        <w:rPr>
          <w:rFonts w:ascii="Calibri" w:hAnsi="Calibri"/>
          <w:sz w:val="22"/>
          <w:szCs w:val="22"/>
        </w:rPr>
        <w:t>é</w:t>
      </w:r>
      <w:r w:rsidR="00446DB5" w:rsidRPr="00195945">
        <w:rPr>
          <w:rFonts w:ascii="Calibri" w:hAnsi="Calibri"/>
          <w:sz w:val="22"/>
          <w:szCs w:val="22"/>
        </w:rPr>
        <w:t xml:space="preserve"> cen</w:t>
      </w:r>
      <w:r>
        <w:rPr>
          <w:rFonts w:ascii="Calibri" w:hAnsi="Calibri"/>
          <w:sz w:val="22"/>
          <w:szCs w:val="22"/>
        </w:rPr>
        <w:t>y</w:t>
      </w:r>
      <w:r w:rsidR="00446DB5" w:rsidRPr="00195945">
        <w:rPr>
          <w:rFonts w:ascii="Calibri" w:hAnsi="Calibri"/>
          <w:sz w:val="22"/>
          <w:szCs w:val="22"/>
        </w:rPr>
        <w:t xml:space="preserve"> mohou zvýšit, resp. snížit maximálně o inflaci oproti inflaci v předchozím kalendářním roce podle oficiálních údajů ČSÚ.</w:t>
      </w:r>
    </w:p>
    <w:p w14:paraId="5ADAF71B" w14:textId="5A806B1E"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 xml:space="preserve">Změna ceny za dílo podle tohoto článku nesmí být uplatněna zpětně za období předcházející době před uzavřením dodatku, na základě kterého bude cena za dílo změněna. </w:t>
      </w:r>
    </w:p>
    <w:p w14:paraId="2F684CC5" w14:textId="77777777" w:rsidR="00446DB5" w:rsidRPr="00916534" w:rsidRDefault="00446DB5" w:rsidP="00466DB4">
      <w:pPr>
        <w:ind w:left="284"/>
        <w:jc w:val="both"/>
        <w:rPr>
          <w:rFonts w:ascii="Calibri" w:hAnsi="Calibri"/>
          <w:sz w:val="16"/>
          <w:szCs w:val="16"/>
        </w:rPr>
      </w:pPr>
    </w:p>
    <w:p w14:paraId="163B5EC3" w14:textId="0B9A4C45" w:rsidR="006876D4" w:rsidRPr="006876D4" w:rsidRDefault="00EF6F67" w:rsidP="006876D4">
      <w:pPr>
        <w:pStyle w:val="Nadpis1"/>
        <w:jc w:val="center"/>
        <w:rPr>
          <w:rFonts w:ascii="Calibri" w:hAnsi="Calibri"/>
        </w:rPr>
      </w:pPr>
      <w:r w:rsidRPr="00EF6F67">
        <w:rPr>
          <w:rFonts w:ascii="Calibri" w:hAnsi="Calibri"/>
        </w:rPr>
        <w:t xml:space="preserve">Článek X. </w:t>
      </w:r>
    </w:p>
    <w:p w14:paraId="7EAF1EAD" w14:textId="77777777" w:rsidR="00EF6F67" w:rsidRPr="00EF6F67" w:rsidRDefault="00EF6F67" w:rsidP="00916534">
      <w:pPr>
        <w:pStyle w:val="Nadpis1"/>
        <w:spacing w:after="60"/>
        <w:jc w:val="center"/>
        <w:rPr>
          <w:rFonts w:ascii="Calibri" w:hAnsi="Calibri"/>
        </w:rPr>
      </w:pPr>
      <w:r w:rsidRPr="00EF6F67">
        <w:rPr>
          <w:rFonts w:ascii="Calibri" w:hAnsi="Calibri"/>
        </w:rPr>
        <w:t xml:space="preserve">Dohoda o smluvní pokutě, úrok z prodlení, náhrada škody a započtení </w:t>
      </w:r>
    </w:p>
    <w:p w14:paraId="6826D5C2" w14:textId="45D37F93" w:rsidR="00EF6F67" w:rsidRPr="00EF6F67" w:rsidRDefault="00EF6F67" w:rsidP="00916534">
      <w:pPr>
        <w:numPr>
          <w:ilvl w:val="0"/>
          <w:numId w:val="13"/>
        </w:numPr>
        <w:ind w:left="283" w:hanging="357"/>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w:t>
      </w:r>
      <w:r w:rsidR="00BD631F">
        <w:rPr>
          <w:rFonts w:ascii="Calibri" w:hAnsi="Calibri"/>
          <w:sz w:val="22"/>
          <w:szCs w:val="22"/>
        </w:rPr>
        <w:t>xxxxxxxxxxxxxxxxxxxxxxxxxxxxx</w:t>
      </w:r>
      <w:r w:rsidRPr="00EF6F67">
        <w:rPr>
          <w:rFonts w:ascii="Calibri" w:hAnsi="Calibri"/>
          <w:sz w:val="22"/>
          <w:szCs w:val="22"/>
        </w:rPr>
        <w:t xml:space="preserve"> částky za každý den prodlení. </w:t>
      </w:r>
    </w:p>
    <w:p w14:paraId="34E35303" w14:textId="72C43BAD" w:rsid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6D325C1F" w14:textId="77777777" w:rsidR="00466DB4" w:rsidRPr="00916534" w:rsidRDefault="00466DB4" w:rsidP="00466DB4">
      <w:pPr>
        <w:ind w:left="284"/>
        <w:jc w:val="both"/>
        <w:rPr>
          <w:rFonts w:ascii="Calibri" w:hAnsi="Calibri"/>
          <w:sz w:val="16"/>
          <w:szCs w:val="16"/>
        </w:rPr>
      </w:pPr>
    </w:p>
    <w:p w14:paraId="2DB77E2A" w14:textId="396CBBE6" w:rsidR="00E82DDE" w:rsidRDefault="00EF6F67" w:rsidP="00E82DDE">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 </w:t>
      </w:r>
    </w:p>
    <w:p w14:paraId="736FD597" w14:textId="77777777" w:rsidR="00EF6F67" w:rsidRPr="00EF6F67" w:rsidRDefault="00EF6F67" w:rsidP="00916534">
      <w:pPr>
        <w:pStyle w:val="Nadpis1"/>
        <w:spacing w:after="60"/>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916534">
      <w:pPr>
        <w:numPr>
          <w:ilvl w:val="0"/>
          <w:numId w:val="14"/>
        </w:numPr>
        <w:ind w:left="283" w:hanging="357"/>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2DDF4419" w14:textId="1B712F50" w:rsidR="00EF6F67" w:rsidRPr="00EF6F67" w:rsidRDefault="00EF6F67" w:rsidP="00F6317C">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0AFE9370" w14:textId="77777777" w:rsidR="00EF6F67" w:rsidRPr="00EF6F67" w:rsidRDefault="00EF6F67" w:rsidP="00916534">
      <w:pPr>
        <w:numPr>
          <w:ilvl w:val="0"/>
          <w:numId w:val="15"/>
        </w:numPr>
        <w:ind w:left="283" w:hanging="357"/>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69E463E8" w14:textId="77777777" w:rsidR="00EF6F67" w:rsidRPr="00EF6F67" w:rsidRDefault="00EF6F67" w:rsidP="00EF6F67">
      <w:pPr>
        <w:autoSpaceDE w:val="0"/>
        <w:autoSpaceDN w:val="0"/>
        <w:adjustRightInd w:val="0"/>
        <w:rPr>
          <w:rFonts w:eastAsia="Calibri"/>
          <w:sz w:val="23"/>
          <w:szCs w:val="23"/>
        </w:rPr>
      </w:pPr>
    </w:p>
    <w:p w14:paraId="79D99BC9" w14:textId="6030D1D9" w:rsidR="00EF6F67" w:rsidRPr="00EF6F67" w:rsidRDefault="00EF6F67" w:rsidP="00F6317C">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08AF">
      <w:pPr>
        <w:numPr>
          <w:ilvl w:val="0"/>
          <w:numId w:val="16"/>
        </w:numPr>
        <w:spacing w:before="120"/>
        <w:ind w:left="283" w:hanging="357"/>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lastRenderedPageBreak/>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EF6F67" w:rsidRDefault="00EF6F67" w:rsidP="00EF6F67">
      <w:pPr>
        <w:autoSpaceDE w:val="0"/>
        <w:autoSpaceDN w:val="0"/>
        <w:adjustRightInd w:val="0"/>
        <w:rPr>
          <w:rFonts w:eastAsia="Calibri"/>
          <w:sz w:val="23"/>
          <w:szCs w:val="23"/>
        </w:rPr>
      </w:pPr>
    </w:p>
    <w:p w14:paraId="5E395994" w14:textId="6892B406" w:rsidR="00EF6F67" w:rsidRPr="00EF6F67" w:rsidRDefault="00EF6F67" w:rsidP="00987373">
      <w:pPr>
        <w:pStyle w:val="Nadpis1"/>
        <w:jc w:val="center"/>
        <w:rPr>
          <w:rFonts w:ascii="Calibri" w:hAnsi="Calibri"/>
        </w:rPr>
      </w:pPr>
      <w:r w:rsidRPr="00EF6F67">
        <w:rPr>
          <w:rFonts w:ascii="Calibri" w:hAnsi="Calibri"/>
        </w:rPr>
        <w:t>Článek XI</w:t>
      </w:r>
      <w:r w:rsidR="00446DB5">
        <w:rPr>
          <w:rFonts w:ascii="Calibri" w:hAnsi="Calibri"/>
        </w:rPr>
        <w:t>V</w:t>
      </w:r>
      <w:r w:rsidRPr="00EF6F67">
        <w:rPr>
          <w:rFonts w:ascii="Calibri" w:hAnsi="Calibri"/>
        </w:rPr>
        <w:t xml:space="preserve">.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5F1C39">
      <w:pPr>
        <w:numPr>
          <w:ilvl w:val="0"/>
          <w:numId w:val="17"/>
        </w:numPr>
        <w:spacing w:before="60"/>
        <w:ind w:left="283" w:hanging="357"/>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B6D8043" w14:textId="3CCC1277" w:rsidR="00801F2D" w:rsidRPr="00801F2D" w:rsidRDefault="00801F2D" w:rsidP="00801F2D">
      <w:pPr>
        <w:numPr>
          <w:ilvl w:val="0"/>
          <w:numId w:val="17"/>
        </w:numPr>
        <w:ind w:left="283" w:hanging="357"/>
        <w:jc w:val="both"/>
        <w:rPr>
          <w:rFonts w:ascii="Calibri" w:hAnsi="Calibri"/>
          <w:sz w:val="22"/>
          <w:szCs w:val="22"/>
        </w:rPr>
      </w:pPr>
      <w:r>
        <w:rPr>
          <w:rFonts w:ascii="Calibri" w:hAnsi="Calibri"/>
          <w:sz w:val="22"/>
          <w:szCs w:val="22"/>
        </w:rPr>
        <w:t>Prodávající i kupující</w:t>
      </w:r>
      <w:r w:rsidRPr="00801F2D">
        <w:rPr>
          <w:rFonts w:ascii="Calibri" w:hAnsi="Calibri"/>
          <w:sz w:val="22"/>
          <w:szCs w:val="22"/>
        </w:rPr>
        <w:t xml:space="preserve"> mohou kdykoli smlouvu vypovědět, a to písemnou formou. Výpovědní doba činí </w:t>
      </w:r>
      <w:r>
        <w:rPr>
          <w:rFonts w:ascii="Calibri" w:hAnsi="Calibri"/>
          <w:sz w:val="22"/>
          <w:szCs w:val="22"/>
        </w:rPr>
        <w:t>tři</w:t>
      </w:r>
      <w:r w:rsidRPr="00801F2D">
        <w:rPr>
          <w:rFonts w:ascii="Calibri" w:hAnsi="Calibri"/>
          <w:sz w:val="22"/>
          <w:szCs w:val="22"/>
        </w:rPr>
        <w:t xml:space="preserve"> měsíc</w:t>
      </w:r>
      <w:r>
        <w:rPr>
          <w:rFonts w:ascii="Calibri" w:hAnsi="Calibri"/>
          <w:sz w:val="22"/>
          <w:szCs w:val="22"/>
        </w:rPr>
        <w:t>e</w:t>
      </w:r>
      <w:r w:rsidRPr="00801F2D">
        <w:rPr>
          <w:rFonts w:ascii="Calibri" w:hAnsi="Calibri"/>
          <w:sz w:val="22"/>
          <w:szCs w:val="22"/>
        </w:rPr>
        <w:t xml:space="preserve"> od okamžiku doručení druhé smluvní straně.</w:t>
      </w:r>
    </w:p>
    <w:p w14:paraId="4C0CB8E5" w14:textId="77777777" w:rsidR="00EF6F67" w:rsidRPr="00EF6F67" w:rsidRDefault="00EF6F67" w:rsidP="00EF6F67">
      <w:pPr>
        <w:autoSpaceDE w:val="0"/>
        <w:autoSpaceDN w:val="0"/>
        <w:adjustRightInd w:val="0"/>
        <w:rPr>
          <w:rFonts w:eastAsia="Calibri"/>
          <w:sz w:val="23"/>
          <w:szCs w:val="23"/>
        </w:rPr>
      </w:pPr>
    </w:p>
    <w:p w14:paraId="1F1E0F8C" w14:textId="5F1127D7" w:rsidR="00987373" w:rsidRDefault="00EF6F67" w:rsidP="00987373">
      <w:pPr>
        <w:pStyle w:val="Nadpis1"/>
        <w:jc w:val="center"/>
        <w:rPr>
          <w:rFonts w:ascii="Calibri" w:hAnsi="Calibri"/>
        </w:rPr>
      </w:pPr>
      <w:r w:rsidRPr="00EF6F67">
        <w:rPr>
          <w:rFonts w:ascii="Calibri" w:hAnsi="Calibri"/>
        </w:rPr>
        <w:t xml:space="preserve">Článek XV.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7B641008" w:rsidR="00EF6F67" w:rsidRPr="00EF6F67" w:rsidRDefault="00EF6F67" w:rsidP="005F1C39">
      <w:pPr>
        <w:numPr>
          <w:ilvl w:val="0"/>
          <w:numId w:val="18"/>
        </w:numPr>
        <w:spacing w:before="60"/>
        <w:ind w:left="283" w:hanging="357"/>
        <w:jc w:val="both"/>
        <w:rPr>
          <w:rFonts w:ascii="Calibri" w:hAnsi="Calibri"/>
          <w:sz w:val="22"/>
          <w:szCs w:val="22"/>
        </w:rPr>
      </w:pPr>
      <w:r w:rsidRPr="00EF6F67">
        <w:rPr>
          <w:rFonts w:ascii="Calibri" w:hAnsi="Calibri"/>
          <w:sz w:val="22"/>
          <w:szCs w:val="22"/>
        </w:rPr>
        <w:t>Tuto smlouvu je možno měnit pouze písemně na základě vzestupně číslovaných dodatků</w:t>
      </w:r>
      <w:r w:rsidR="005F1C39">
        <w:rPr>
          <w:rFonts w:ascii="Calibri" w:hAnsi="Calibri"/>
          <w:sz w:val="22"/>
          <w:szCs w:val="22"/>
        </w:rPr>
        <w:t>,</w:t>
      </w:r>
      <w:r w:rsidRPr="00EF6F67">
        <w:rPr>
          <w:rFonts w:ascii="Calibri" w:hAnsi="Calibri"/>
          <w:sz w:val="22"/>
          <w:szCs w:val="22"/>
        </w:rPr>
        <w:t xml:space="preserve">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53EBDAC5" w14:textId="52834481" w:rsidR="00F919A9" w:rsidRDefault="00EF6F67" w:rsidP="003F6D08">
      <w:pPr>
        <w:numPr>
          <w:ilvl w:val="0"/>
          <w:numId w:val="18"/>
        </w:numPr>
        <w:ind w:left="284"/>
        <w:jc w:val="both"/>
        <w:rPr>
          <w:rFonts w:ascii="Calibri" w:hAnsi="Calibri"/>
          <w:sz w:val="22"/>
          <w:szCs w:val="22"/>
        </w:rPr>
      </w:pPr>
      <w:r w:rsidRPr="00EF6F67">
        <w:rPr>
          <w:rFonts w:ascii="Calibri" w:hAnsi="Calibri"/>
          <w:sz w:val="22"/>
          <w:szCs w:val="22"/>
        </w:rPr>
        <w:t>Tato smlouva nabývá účinnosti podpisem poslední smluvní strany</w:t>
      </w:r>
      <w:r w:rsidR="007C1812">
        <w:rPr>
          <w:rFonts w:ascii="Calibri" w:hAnsi="Calibri"/>
          <w:sz w:val="22"/>
          <w:szCs w:val="22"/>
        </w:rPr>
        <w:t xml:space="preserve"> a uzavírá se na </w:t>
      </w:r>
      <w:r w:rsidR="00F919A9">
        <w:rPr>
          <w:rFonts w:ascii="Calibri" w:hAnsi="Calibri"/>
          <w:sz w:val="22"/>
          <w:szCs w:val="22"/>
        </w:rPr>
        <w:t xml:space="preserve">dobu neurčitou.    Výpovědní lhůta je </w:t>
      </w:r>
      <w:r w:rsidR="00BD631F">
        <w:rPr>
          <w:rFonts w:ascii="Calibri" w:hAnsi="Calibri"/>
          <w:sz w:val="22"/>
          <w:szCs w:val="22"/>
        </w:rPr>
        <w:t>xxxxxxxxxxxxxxxx</w:t>
      </w:r>
      <w:r w:rsidR="00F919A9">
        <w:rPr>
          <w:rFonts w:ascii="Calibri" w:hAnsi="Calibri"/>
          <w:sz w:val="22"/>
          <w:szCs w:val="22"/>
        </w:rPr>
        <w:t xml:space="preserve">, ode dne doručení protistraně. </w:t>
      </w:r>
    </w:p>
    <w:p w14:paraId="12F97EDB" w14:textId="236CEEDD"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V případě, že bude</w:t>
      </w:r>
      <w:r w:rsidR="00F919A9">
        <w:rPr>
          <w:rFonts w:ascii="Calibri" w:hAnsi="Calibri"/>
          <w:sz w:val="22"/>
          <w:szCs w:val="22"/>
        </w:rPr>
        <w:t xml:space="preserve"> smlouva</w:t>
      </w:r>
      <w:r w:rsidRPr="00EF6F67">
        <w:rPr>
          <w:rFonts w:ascii="Calibri" w:hAnsi="Calibri"/>
          <w:sz w:val="22"/>
          <w:szCs w:val="22"/>
        </w:rPr>
        <w:t xml:space="preserv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F3423" w:rsidR="00CE0768" w:rsidRDefault="00CE0768" w:rsidP="00987373">
            <w:pPr>
              <w:jc w:val="both"/>
              <w:rPr>
                <w:rFonts w:ascii="Calibri" w:hAnsi="Calibri"/>
                <w:sz w:val="22"/>
                <w:szCs w:val="22"/>
              </w:rPr>
            </w:pPr>
            <w:r>
              <w:rPr>
                <w:rFonts w:ascii="Calibri" w:hAnsi="Calibri"/>
                <w:sz w:val="22"/>
                <w:szCs w:val="22"/>
              </w:rPr>
              <w:t xml:space="preserve">Ing. </w:t>
            </w:r>
            <w:r w:rsidR="00CF3189">
              <w:rPr>
                <w:rFonts w:ascii="Calibri" w:hAnsi="Calibri"/>
                <w:sz w:val="22"/>
                <w:szCs w:val="22"/>
              </w:rPr>
              <w:t>Jan Ullmann</w:t>
            </w:r>
          </w:p>
          <w:p w14:paraId="5FB54E67" w14:textId="7C5584F6" w:rsidR="00CE0768" w:rsidRDefault="0056711E" w:rsidP="00CE0768">
            <w:pPr>
              <w:jc w:val="both"/>
              <w:rPr>
                <w:rFonts w:ascii="Calibri" w:hAnsi="Calibri"/>
                <w:sz w:val="22"/>
                <w:szCs w:val="22"/>
              </w:rPr>
            </w:pPr>
            <w:r>
              <w:rPr>
                <w:rFonts w:ascii="Calibri" w:hAnsi="Calibri"/>
                <w:sz w:val="22"/>
                <w:szCs w:val="22"/>
              </w:rPr>
              <w:t>ř</w:t>
            </w:r>
            <w:r w:rsidR="00CE0768">
              <w:rPr>
                <w:rFonts w:ascii="Calibri" w:hAnsi="Calibri"/>
                <w:sz w:val="22"/>
                <w:szCs w:val="22"/>
              </w:rPr>
              <w:t>editel</w:t>
            </w:r>
            <w:r>
              <w:rPr>
                <w:rFonts w:ascii="Calibri" w:hAnsi="Calibri"/>
                <w:sz w:val="22"/>
                <w:szCs w:val="22"/>
              </w:rPr>
              <w:t xml:space="preserve"> organizace</w:t>
            </w:r>
          </w:p>
        </w:tc>
        <w:tc>
          <w:tcPr>
            <w:tcW w:w="4605" w:type="dxa"/>
          </w:tcPr>
          <w:p w14:paraId="498DA567" w14:textId="7908EB3B" w:rsidR="00CE0768" w:rsidRDefault="00CE0768" w:rsidP="00CE0768">
            <w:pPr>
              <w:jc w:val="both"/>
              <w:rPr>
                <w:rFonts w:ascii="Calibri" w:hAnsi="Calibri"/>
                <w:sz w:val="22"/>
                <w:szCs w:val="22"/>
              </w:rPr>
            </w:pPr>
            <w:r>
              <w:rPr>
                <w:rFonts w:ascii="Calibri" w:hAnsi="Calibri"/>
                <w:sz w:val="22"/>
                <w:szCs w:val="22"/>
              </w:rPr>
              <w:t>V </w:t>
            </w:r>
            <w:r w:rsidR="006E4004">
              <w:rPr>
                <w:rFonts w:ascii="Calibri" w:hAnsi="Calibri"/>
                <w:sz w:val="22"/>
                <w:szCs w:val="22"/>
              </w:rPr>
              <w:t>Libštátu</w:t>
            </w:r>
            <w:r>
              <w:rPr>
                <w:rFonts w:ascii="Calibri" w:hAnsi="Calibri"/>
                <w:sz w:val="22"/>
                <w:szCs w:val="22"/>
              </w:rPr>
              <w:t xml:space="preserve"> dne _________________</w:t>
            </w: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70184D7A" w14:textId="77777777" w:rsidR="00CE0768" w:rsidRDefault="00261240" w:rsidP="00CE0768">
            <w:pPr>
              <w:jc w:val="both"/>
              <w:rPr>
                <w:rFonts w:ascii="Calibri" w:hAnsi="Calibri"/>
                <w:sz w:val="22"/>
                <w:szCs w:val="22"/>
              </w:rPr>
            </w:pPr>
            <w:r>
              <w:rPr>
                <w:rFonts w:ascii="Calibri" w:hAnsi="Calibri"/>
                <w:sz w:val="22"/>
                <w:szCs w:val="22"/>
              </w:rPr>
              <w:t>Zdeněk Kopecký</w:t>
            </w:r>
          </w:p>
          <w:p w14:paraId="39636E28" w14:textId="384C4CAF" w:rsidR="00261240" w:rsidRDefault="00261240" w:rsidP="00CE0768">
            <w:pPr>
              <w:jc w:val="both"/>
              <w:rPr>
                <w:rFonts w:ascii="Calibri" w:hAnsi="Calibri"/>
                <w:sz w:val="22"/>
                <w:szCs w:val="22"/>
              </w:rPr>
            </w:pPr>
            <w:r>
              <w:rPr>
                <w:rFonts w:ascii="Calibri" w:hAnsi="Calibri"/>
                <w:sz w:val="22"/>
                <w:szCs w:val="22"/>
              </w:rPr>
              <w:t>jednatel</w:t>
            </w:r>
          </w:p>
        </w:tc>
      </w:tr>
    </w:tbl>
    <w:p w14:paraId="0F4E2B59" w14:textId="44E1B3F9" w:rsidR="00BB3C16" w:rsidRPr="00F45752" w:rsidRDefault="00BB3C16" w:rsidP="00F45752">
      <w:pPr>
        <w:autoSpaceDE w:val="0"/>
        <w:autoSpaceDN w:val="0"/>
        <w:adjustRightInd w:val="0"/>
        <w:rPr>
          <w:rFonts w:eastAsia="Calibri"/>
          <w:sz w:val="2"/>
          <w:szCs w:val="2"/>
        </w:rPr>
      </w:pPr>
    </w:p>
    <w:sectPr w:rsidR="00BB3C16" w:rsidRPr="00F45752" w:rsidSect="0035431E">
      <w:footerReference w:type="even" r:id="rId8"/>
      <w:footerReference w:type="default" r:id="rId9"/>
      <w:footerReference w:type="first" r:id="rId10"/>
      <w:pgSz w:w="11906" w:h="16838" w:code="9"/>
      <w:pgMar w:top="1021" w:right="1418" w:bottom="964"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37F6" w14:textId="77777777" w:rsidR="00D61A88" w:rsidRDefault="00D61A88" w:rsidP="00C429FF">
      <w:r>
        <w:separator/>
      </w:r>
    </w:p>
  </w:endnote>
  <w:endnote w:type="continuationSeparator" w:id="0">
    <w:p w14:paraId="5471F6C1" w14:textId="77777777" w:rsidR="00D61A88" w:rsidRDefault="00D61A88"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6"/>
        <w:szCs w:val="10"/>
      </w:rPr>
      <w:id w:val="1584419115"/>
      <w:docPartObj>
        <w:docPartGallery w:val="Page Numbers (Bottom of Page)"/>
        <w:docPartUnique/>
      </w:docPartObj>
    </w:sdtPr>
    <w:sdtEndPr>
      <w:rPr>
        <w:sz w:val="14"/>
        <w:szCs w:val="14"/>
      </w:rPr>
    </w:sdtEndPr>
    <w:sdtContent>
      <w:sdt>
        <w:sdtPr>
          <w:rPr>
            <w:rFonts w:asciiTheme="minorHAnsi" w:hAnsiTheme="minorHAnsi" w:cstheme="minorHAnsi"/>
            <w:sz w:val="14"/>
            <w:szCs w:val="14"/>
          </w:rPr>
          <w:id w:val="862478046"/>
          <w:docPartObj>
            <w:docPartGallery w:val="Page Numbers (Top of Page)"/>
            <w:docPartUnique/>
          </w:docPartObj>
        </w:sdtPr>
        <w:sdtEndPr/>
        <w:sdtContent>
          <w:p w14:paraId="214A14F3" w14:textId="5727AC99" w:rsidR="001E29B6" w:rsidRPr="00915F53" w:rsidRDefault="001E29B6" w:rsidP="001E29B6">
            <w:pPr>
              <w:pStyle w:val="Zpat"/>
              <w:jc w:val="right"/>
              <w:rPr>
                <w:rFonts w:asciiTheme="minorHAnsi" w:hAnsiTheme="minorHAnsi" w:cstheme="minorHAnsi"/>
                <w:spacing w:val="2"/>
                <w:sz w:val="16"/>
                <w:szCs w:val="8"/>
              </w:rPr>
            </w:pPr>
            <w:r w:rsidRPr="00915F53">
              <w:rPr>
                <w:rFonts w:asciiTheme="minorHAnsi" w:hAnsiTheme="minorHAnsi" w:cstheme="minorHAnsi"/>
                <w:spacing w:val="2"/>
                <w:sz w:val="4"/>
                <w:szCs w:val="4"/>
              </w:rPr>
              <w:t xml:space="preserve">                                                                                                                                                                         </w:t>
            </w:r>
            <w:r w:rsidRPr="00915F53">
              <w:rPr>
                <w:rFonts w:asciiTheme="minorHAnsi" w:hAnsiTheme="minorHAnsi" w:cstheme="minorHAnsi"/>
                <w:spacing w:val="2"/>
                <w:sz w:val="16"/>
                <w:szCs w:val="8"/>
              </w:rPr>
              <w:t xml:space="preserve">Strana </w:t>
            </w:r>
            <w:r w:rsidRPr="00915F53">
              <w:rPr>
                <w:rFonts w:asciiTheme="minorHAnsi" w:hAnsiTheme="minorHAnsi" w:cstheme="minorHAnsi"/>
                <w:bCs/>
                <w:spacing w:val="2"/>
                <w:sz w:val="16"/>
                <w:szCs w:val="8"/>
              </w:rPr>
              <w:fldChar w:fldCharType="begin"/>
            </w:r>
            <w:r w:rsidRPr="00915F53">
              <w:rPr>
                <w:rFonts w:asciiTheme="minorHAnsi" w:hAnsiTheme="minorHAnsi" w:cstheme="minorHAnsi"/>
                <w:bCs/>
                <w:spacing w:val="2"/>
                <w:sz w:val="16"/>
                <w:szCs w:val="8"/>
              </w:rPr>
              <w:instrText>PAGE  \* Arabic  \* MERGEFORMAT</w:instrText>
            </w:r>
            <w:r w:rsidRPr="00915F53">
              <w:rPr>
                <w:rFonts w:asciiTheme="minorHAnsi" w:hAnsiTheme="minorHAnsi" w:cstheme="minorHAnsi"/>
                <w:bCs/>
                <w:spacing w:val="2"/>
                <w:sz w:val="16"/>
                <w:szCs w:val="8"/>
              </w:rPr>
              <w:fldChar w:fldCharType="separate"/>
            </w:r>
            <w:r w:rsidR="00083381">
              <w:rPr>
                <w:rFonts w:asciiTheme="minorHAnsi" w:hAnsiTheme="minorHAnsi" w:cstheme="minorHAnsi"/>
                <w:bCs/>
                <w:noProof/>
                <w:spacing w:val="2"/>
                <w:sz w:val="16"/>
                <w:szCs w:val="8"/>
              </w:rPr>
              <w:t>1</w:t>
            </w:r>
            <w:r w:rsidRPr="00915F53">
              <w:rPr>
                <w:rFonts w:asciiTheme="minorHAnsi" w:hAnsiTheme="minorHAnsi" w:cstheme="minorHAnsi"/>
                <w:bCs/>
                <w:spacing w:val="2"/>
                <w:sz w:val="16"/>
                <w:szCs w:val="8"/>
              </w:rPr>
              <w:fldChar w:fldCharType="end"/>
            </w:r>
            <w:r w:rsidRPr="00915F53">
              <w:rPr>
                <w:rFonts w:asciiTheme="minorHAnsi" w:hAnsiTheme="minorHAnsi" w:cstheme="minorHAnsi"/>
                <w:bCs/>
                <w:spacing w:val="2"/>
                <w:sz w:val="16"/>
                <w:szCs w:val="8"/>
              </w:rPr>
              <w:t>, celkem</w:t>
            </w:r>
            <w:r w:rsidRPr="00915F53">
              <w:rPr>
                <w:rFonts w:asciiTheme="minorHAnsi" w:hAnsiTheme="minorHAnsi" w:cstheme="minorHAnsi"/>
                <w:spacing w:val="2"/>
                <w:sz w:val="16"/>
                <w:szCs w:val="8"/>
              </w:rPr>
              <w:t xml:space="preserve"> </w:t>
            </w:r>
            <w:r w:rsidRPr="00915F53">
              <w:rPr>
                <w:rFonts w:asciiTheme="minorHAnsi" w:hAnsiTheme="minorHAnsi" w:cstheme="minorHAnsi"/>
                <w:bCs/>
                <w:spacing w:val="2"/>
                <w:sz w:val="16"/>
                <w:szCs w:val="8"/>
              </w:rPr>
              <w:fldChar w:fldCharType="begin"/>
            </w:r>
            <w:r w:rsidRPr="00915F53">
              <w:rPr>
                <w:rFonts w:asciiTheme="minorHAnsi" w:hAnsiTheme="minorHAnsi" w:cstheme="minorHAnsi"/>
                <w:bCs/>
                <w:spacing w:val="2"/>
                <w:sz w:val="16"/>
                <w:szCs w:val="8"/>
              </w:rPr>
              <w:instrText>NUMPAGES  \* Arabic  \* MERGEFORMAT</w:instrText>
            </w:r>
            <w:r w:rsidRPr="00915F53">
              <w:rPr>
                <w:rFonts w:asciiTheme="minorHAnsi" w:hAnsiTheme="minorHAnsi" w:cstheme="minorHAnsi"/>
                <w:bCs/>
                <w:spacing w:val="2"/>
                <w:sz w:val="16"/>
                <w:szCs w:val="8"/>
              </w:rPr>
              <w:fldChar w:fldCharType="separate"/>
            </w:r>
            <w:r w:rsidR="00083381">
              <w:rPr>
                <w:rFonts w:asciiTheme="minorHAnsi" w:hAnsiTheme="minorHAnsi" w:cstheme="minorHAnsi"/>
                <w:bCs/>
                <w:noProof/>
                <w:spacing w:val="2"/>
                <w:sz w:val="16"/>
                <w:szCs w:val="8"/>
              </w:rPr>
              <w:t>5</w:t>
            </w:r>
            <w:r w:rsidRPr="00915F53">
              <w:rPr>
                <w:rFonts w:asciiTheme="minorHAnsi" w:hAnsiTheme="minorHAnsi" w:cstheme="minorHAnsi"/>
                <w:bCs/>
                <w:spacing w:val="2"/>
                <w:sz w:val="16"/>
                <w:szCs w:val="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7728"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E4A5" w14:textId="77777777" w:rsidR="00D61A88" w:rsidRDefault="00D61A88" w:rsidP="00C429FF">
      <w:r>
        <w:separator/>
      </w:r>
    </w:p>
  </w:footnote>
  <w:footnote w:type="continuationSeparator" w:id="0">
    <w:p w14:paraId="3D944099" w14:textId="77777777" w:rsidR="00D61A88" w:rsidRDefault="00D61A88"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5E0B4A"/>
    <w:multiLevelType w:val="hybridMultilevel"/>
    <w:tmpl w:val="AF98D7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8"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961777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3D5657D0"/>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tentative="1">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12"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3"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503A09CD"/>
    <w:multiLevelType w:val="hybridMultilevel"/>
    <w:tmpl w:val="142062FC"/>
    <w:lvl w:ilvl="0" w:tplc="E81042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B2E0D"/>
    <w:multiLevelType w:val="hybridMultilevel"/>
    <w:tmpl w:val="EA6CB964"/>
    <w:lvl w:ilvl="0" w:tplc="CD70F304">
      <w:start w:val="1"/>
      <w:numFmt w:val="bullet"/>
      <w:lvlText w:val="-"/>
      <w:lvlJc w:val="left"/>
      <w:pPr>
        <w:ind w:left="1065" w:hanging="360"/>
      </w:pPr>
      <w:rPr>
        <w:rFonts w:ascii="Calibri" w:eastAsia="Calibri" w:hAnsi="Calibri" w:cs="Times New Roman" w:hint="default"/>
      </w:rPr>
    </w:lvl>
    <w:lvl w:ilvl="1" w:tplc="B4E68DA6">
      <w:start w:val="1"/>
      <w:numFmt w:val="bullet"/>
      <w:lvlText w:val="o"/>
      <w:lvlJc w:val="left"/>
      <w:pPr>
        <w:ind w:left="1785" w:hanging="360"/>
      </w:pPr>
      <w:rPr>
        <w:rFonts w:ascii="Courier New" w:hAnsi="Courier New" w:cs="Courier New" w:hint="default"/>
        <w:color w:val="000000" w:themeColor="text1"/>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609F7C9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0"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3"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4"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6E24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7"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num w:numId="1">
    <w:abstractNumId w:val="6"/>
  </w:num>
  <w:num w:numId="2">
    <w:abstractNumId w:val="8"/>
  </w:num>
  <w:num w:numId="3">
    <w:abstractNumId w:val="24"/>
  </w:num>
  <w:num w:numId="4">
    <w:abstractNumId w:val="14"/>
  </w:num>
  <w:num w:numId="5">
    <w:abstractNumId w:val="7"/>
  </w:num>
  <w:num w:numId="6">
    <w:abstractNumId w:val="12"/>
  </w:num>
  <w:num w:numId="7">
    <w:abstractNumId w:val="20"/>
  </w:num>
  <w:num w:numId="8">
    <w:abstractNumId w:val="3"/>
  </w:num>
  <w:num w:numId="9">
    <w:abstractNumId w:val="21"/>
  </w:num>
  <w:num w:numId="10">
    <w:abstractNumId w:val="1"/>
  </w:num>
  <w:num w:numId="11">
    <w:abstractNumId w:val="0"/>
  </w:num>
  <w:num w:numId="12">
    <w:abstractNumId w:val="27"/>
  </w:num>
  <w:num w:numId="13">
    <w:abstractNumId w:val="22"/>
  </w:num>
  <w:num w:numId="14">
    <w:abstractNumId w:val="18"/>
  </w:num>
  <w:num w:numId="15">
    <w:abstractNumId w:val="26"/>
  </w:num>
  <w:num w:numId="16">
    <w:abstractNumId w:val="10"/>
  </w:num>
  <w:num w:numId="17">
    <w:abstractNumId w:val="2"/>
  </w:num>
  <w:num w:numId="18">
    <w:abstractNumId w:val="23"/>
  </w:num>
  <w:num w:numId="19">
    <w:abstractNumId w:val="13"/>
  </w:num>
  <w:num w:numId="20">
    <w:abstractNumId w:val="5"/>
  </w:num>
  <w:num w:numId="21">
    <w:abstractNumId w:val="17"/>
  </w:num>
  <w:num w:numId="22">
    <w:abstractNumId w:val="19"/>
  </w:num>
  <w:num w:numId="23">
    <w:abstractNumId w:val="4"/>
  </w:num>
  <w:num w:numId="24">
    <w:abstractNumId w:val="16"/>
  </w:num>
  <w:num w:numId="25">
    <w:abstractNumId w:val="15"/>
  </w:num>
  <w:num w:numId="26">
    <w:abstractNumId w:val="9"/>
  </w:num>
  <w:num w:numId="27">
    <w:abstractNumId w:val="25"/>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144E"/>
    <w:rsid w:val="00012663"/>
    <w:rsid w:val="00026E19"/>
    <w:rsid w:val="0003006B"/>
    <w:rsid w:val="000360F2"/>
    <w:rsid w:val="00044135"/>
    <w:rsid w:val="000509F2"/>
    <w:rsid w:val="0006029E"/>
    <w:rsid w:val="000750A3"/>
    <w:rsid w:val="00083381"/>
    <w:rsid w:val="000A58D4"/>
    <w:rsid w:val="000A6229"/>
    <w:rsid w:val="000B0597"/>
    <w:rsid w:val="000B3C70"/>
    <w:rsid w:val="000B7C12"/>
    <w:rsid w:val="000C45FC"/>
    <w:rsid w:val="000C4C55"/>
    <w:rsid w:val="000C6160"/>
    <w:rsid w:val="000F4917"/>
    <w:rsid w:val="0010379E"/>
    <w:rsid w:val="00103C1C"/>
    <w:rsid w:val="00114D0F"/>
    <w:rsid w:val="00127AAB"/>
    <w:rsid w:val="00131C04"/>
    <w:rsid w:val="00131FAC"/>
    <w:rsid w:val="001359C0"/>
    <w:rsid w:val="001401A7"/>
    <w:rsid w:val="00147061"/>
    <w:rsid w:val="001475E6"/>
    <w:rsid w:val="00156096"/>
    <w:rsid w:val="00156E0D"/>
    <w:rsid w:val="00162D5A"/>
    <w:rsid w:val="00167F70"/>
    <w:rsid w:val="001717BB"/>
    <w:rsid w:val="0017614C"/>
    <w:rsid w:val="00180B9B"/>
    <w:rsid w:val="0018760A"/>
    <w:rsid w:val="00187F72"/>
    <w:rsid w:val="00195561"/>
    <w:rsid w:val="00195945"/>
    <w:rsid w:val="00197A57"/>
    <w:rsid w:val="001A0D4A"/>
    <w:rsid w:val="001A75E5"/>
    <w:rsid w:val="001D08E7"/>
    <w:rsid w:val="001D1E89"/>
    <w:rsid w:val="001D4A75"/>
    <w:rsid w:val="001E29B6"/>
    <w:rsid w:val="001E3CA6"/>
    <w:rsid w:val="001F2A37"/>
    <w:rsid w:val="001F63FE"/>
    <w:rsid w:val="001F6F76"/>
    <w:rsid w:val="00204F39"/>
    <w:rsid w:val="0021037C"/>
    <w:rsid w:val="00220C02"/>
    <w:rsid w:val="002257A4"/>
    <w:rsid w:val="00225955"/>
    <w:rsid w:val="0022722B"/>
    <w:rsid w:val="00240D51"/>
    <w:rsid w:val="00261240"/>
    <w:rsid w:val="00270A13"/>
    <w:rsid w:val="00272C61"/>
    <w:rsid w:val="00280D3A"/>
    <w:rsid w:val="00284BD2"/>
    <w:rsid w:val="00292F13"/>
    <w:rsid w:val="002A5D8C"/>
    <w:rsid w:val="002A6A43"/>
    <w:rsid w:val="002B03A4"/>
    <w:rsid w:val="002B6DB3"/>
    <w:rsid w:val="002C0700"/>
    <w:rsid w:val="002C3C3F"/>
    <w:rsid w:val="002C3DF8"/>
    <w:rsid w:val="002E7897"/>
    <w:rsid w:val="002F401A"/>
    <w:rsid w:val="002F4205"/>
    <w:rsid w:val="002F60CB"/>
    <w:rsid w:val="00300C4D"/>
    <w:rsid w:val="003043D3"/>
    <w:rsid w:val="00310059"/>
    <w:rsid w:val="00316035"/>
    <w:rsid w:val="003207B3"/>
    <w:rsid w:val="00320944"/>
    <w:rsid w:val="00325977"/>
    <w:rsid w:val="003379AE"/>
    <w:rsid w:val="00345419"/>
    <w:rsid w:val="0035027A"/>
    <w:rsid w:val="0035206B"/>
    <w:rsid w:val="0035431E"/>
    <w:rsid w:val="00362A19"/>
    <w:rsid w:val="00373608"/>
    <w:rsid w:val="00380C1F"/>
    <w:rsid w:val="00392D4A"/>
    <w:rsid w:val="00395CF1"/>
    <w:rsid w:val="003A02A9"/>
    <w:rsid w:val="003C06CC"/>
    <w:rsid w:val="003C4253"/>
    <w:rsid w:val="003D0E4A"/>
    <w:rsid w:val="003D2442"/>
    <w:rsid w:val="003D57FF"/>
    <w:rsid w:val="003E2A76"/>
    <w:rsid w:val="003E4D40"/>
    <w:rsid w:val="003E53DE"/>
    <w:rsid w:val="003E782A"/>
    <w:rsid w:val="003F08AF"/>
    <w:rsid w:val="003F1A96"/>
    <w:rsid w:val="003F1FAA"/>
    <w:rsid w:val="003F5E1D"/>
    <w:rsid w:val="003F6D08"/>
    <w:rsid w:val="0042040C"/>
    <w:rsid w:val="0043677D"/>
    <w:rsid w:val="00446DB5"/>
    <w:rsid w:val="00450999"/>
    <w:rsid w:val="004546EF"/>
    <w:rsid w:val="0045706C"/>
    <w:rsid w:val="004607C2"/>
    <w:rsid w:val="00461BEB"/>
    <w:rsid w:val="00466DB4"/>
    <w:rsid w:val="00473F02"/>
    <w:rsid w:val="00481D18"/>
    <w:rsid w:val="00491187"/>
    <w:rsid w:val="00494351"/>
    <w:rsid w:val="00494ACE"/>
    <w:rsid w:val="0049520E"/>
    <w:rsid w:val="00497E4B"/>
    <w:rsid w:val="004A07CA"/>
    <w:rsid w:val="004B76C7"/>
    <w:rsid w:val="004C124A"/>
    <w:rsid w:val="004C3733"/>
    <w:rsid w:val="004C5747"/>
    <w:rsid w:val="004C6192"/>
    <w:rsid w:val="004D6A49"/>
    <w:rsid w:val="004E0AAB"/>
    <w:rsid w:val="004E28BE"/>
    <w:rsid w:val="004E3409"/>
    <w:rsid w:val="004E7662"/>
    <w:rsid w:val="0050354C"/>
    <w:rsid w:val="00503F09"/>
    <w:rsid w:val="005057EE"/>
    <w:rsid w:val="005149D5"/>
    <w:rsid w:val="00534ADB"/>
    <w:rsid w:val="00534E3B"/>
    <w:rsid w:val="00537AE0"/>
    <w:rsid w:val="00551E00"/>
    <w:rsid w:val="005571D3"/>
    <w:rsid w:val="005606E3"/>
    <w:rsid w:val="00561FA9"/>
    <w:rsid w:val="00563B09"/>
    <w:rsid w:val="0056711E"/>
    <w:rsid w:val="00575D5E"/>
    <w:rsid w:val="00585730"/>
    <w:rsid w:val="005A75DD"/>
    <w:rsid w:val="005B5C45"/>
    <w:rsid w:val="005C5F16"/>
    <w:rsid w:val="005E5002"/>
    <w:rsid w:val="005F1938"/>
    <w:rsid w:val="005F1C39"/>
    <w:rsid w:val="005F6381"/>
    <w:rsid w:val="006156CB"/>
    <w:rsid w:val="00616CFA"/>
    <w:rsid w:val="00620717"/>
    <w:rsid w:val="00621981"/>
    <w:rsid w:val="006267FE"/>
    <w:rsid w:val="00660DFE"/>
    <w:rsid w:val="00663A95"/>
    <w:rsid w:val="006642E6"/>
    <w:rsid w:val="00667CE9"/>
    <w:rsid w:val="006709F8"/>
    <w:rsid w:val="00676B2F"/>
    <w:rsid w:val="006876D4"/>
    <w:rsid w:val="0069009C"/>
    <w:rsid w:val="00695F8B"/>
    <w:rsid w:val="006968A0"/>
    <w:rsid w:val="006B14D5"/>
    <w:rsid w:val="006C0C1E"/>
    <w:rsid w:val="006C2A92"/>
    <w:rsid w:val="006C4AC6"/>
    <w:rsid w:val="006E4004"/>
    <w:rsid w:val="006F3F57"/>
    <w:rsid w:val="006F5959"/>
    <w:rsid w:val="00710CF1"/>
    <w:rsid w:val="007130AE"/>
    <w:rsid w:val="007210CA"/>
    <w:rsid w:val="0072162B"/>
    <w:rsid w:val="00724ABA"/>
    <w:rsid w:val="0072586F"/>
    <w:rsid w:val="00727B6F"/>
    <w:rsid w:val="00733CB9"/>
    <w:rsid w:val="00734F0A"/>
    <w:rsid w:val="00735E20"/>
    <w:rsid w:val="007426D4"/>
    <w:rsid w:val="007528B0"/>
    <w:rsid w:val="007554EB"/>
    <w:rsid w:val="007668DC"/>
    <w:rsid w:val="00770DA7"/>
    <w:rsid w:val="00774FCE"/>
    <w:rsid w:val="00793514"/>
    <w:rsid w:val="007A1C98"/>
    <w:rsid w:val="007C1812"/>
    <w:rsid w:val="007C3B08"/>
    <w:rsid w:val="007C55CB"/>
    <w:rsid w:val="007C5CAA"/>
    <w:rsid w:val="007C6EA0"/>
    <w:rsid w:val="007D46BF"/>
    <w:rsid w:val="007E07D8"/>
    <w:rsid w:val="007E19A0"/>
    <w:rsid w:val="007E2867"/>
    <w:rsid w:val="007E5CA6"/>
    <w:rsid w:val="00801F2D"/>
    <w:rsid w:val="008164F2"/>
    <w:rsid w:val="00817123"/>
    <w:rsid w:val="00820D1B"/>
    <w:rsid w:val="008213A9"/>
    <w:rsid w:val="008220FB"/>
    <w:rsid w:val="00823080"/>
    <w:rsid w:val="0084701D"/>
    <w:rsid w:val="00862BF5"/>
    <w:rsid w:val="008706CC"/>
    <w:rsid w:val="00882E3C"/>
    <w:rsid w:val="00883FCD"/>
    <w:rsid w:val="00885F97"/>
    <w:rsid w:val="0089012C"/>
    <w:rsid w:val="00891383"/>
    <w:rsid w:val="00892B8B"/>
    <w:rsid w:val="008A4867"/>
    <w:rsid w:val="008B2087"/>
    <w:rsid w:val="008C3B8E"/>
    <w:rsid w:val="008C43CC"/>
    <w:rsid w:val="008C56EA"/>
    <w:rsid w:val="008E218E"/>
    <w:rsid w:val="008F4DA9"/>
    <w:rsid w:val="008F5DEB"/>
    <w:rsid w:val="00916534"/>
    <w:rsid w:val="00917823"/>
    <w:rsid w:val="009230F9"/>
    <w:rsid w:val="00923738"/>
    <w:rsid w:val="00933A11"/>
    <w:rsid w:val="00933B50"/>
    <w:rsid w:val="0093543D"/>
    <w:rsid w:val="00935A21"/>
    <w:rsid w:val="00941BD0"/>
    <w:rsid w:val="00944066"/>
    <w:rsid w:val="009449E0"/>
    <w:rsid w:val="009534F6"/>
    <w:rsid w:val="009538F6"/>
    <w:rsid w:val="00953C45"/>
    <w:rsid w:val="009557CB"/>
    <w:rsid w:val="00960AD5"/>
    <w:rsid w:val="009642E2"/>
    <w:rsid w:val="009779A3"/>
    <w:rsid w:val="009824B6"/>
    <w:rsid w:val="00987373"/>
    <w:rsid w:val="009A48EC"/>
    <w:rsid w:val="009A4C60"/>
    <w:rsid w:val="009A7ADC"/>
    <w:rsid w:val="009B0DFC"/>
    <w:rsid w:val="009B6399"/>
    <w:rsid w:val="009C5464"/>
    <w:rsid w:val="009C78A6"/>
    <w:rsid w:val="009C7921"/>
    <w:rsid w:val="009C7A1A"/>
    <w:rsid w:val="009D2A3F"/>
    <w:rsid w:val="009F3153"/>
    <w:rsid w:val="009F504B"/>
    <w:rsid w:val="00A14A1A"/>
    <w:rsid w:val="00A2187C"/>
    <w:rsid w:val="00A42E6D"/>
    <w:rsid w:val="00A46226"/>
    <w:rsid w:val="00A51665"/>
    <w:rsid w:val="00A60219"/>
    <w:rsid w:val="00A6339B"/>
    <w:rsid w:val="00A71486"/>
    <w:rsid w:val="00A71DFA"/>
    <w:rsid w:val="00A74336"/>
    <w:rsid w:val="00A83D92"/>
    <w:rsid w:val="00A85C1A"/>
    <w:rsid w:val="00A85EDA"/>
    <w:rsid w:val="00A87999"/>
    <w:rsid w:val="00A915A6"/>
    <w:rsid w:val="00A96C44"/>
    <w:rsid w:val="00AB0CCC"/>
    <w:rsid w:val="00AB4CC9"/>
    <w:rsid w:val="00AC21D9"/>
    <w:rsid w:val="00AC7C11"/>
    <w:rsid w:val="00AD7FE2"/>
    <w:rsid w:val="00B06002"/>
    <w:rsid w:val="00B12E5C"/>
    <w:rsid w:val="00B23C40"/>
    <w:rsid w:val="00B34F89"/>
    <w:rsid w:val="00B36CE6"/>
    <w:rsid w:val="00B46E63"/>
    <w:rsid w:val="00B47AD6"/>
    <w:rsid w:val="00B62A87"/>
    <w:rsid w:val="00B6540A"/>
    <w:rsid w:val="00B71F93"/>
    <w:rsid w:val="00B83107"/>
    <w:rsid w:val="00B918CB"/>
    <w:rsid w:val="00BA78A8"/>
    <w:rsid w:val="00BB0113"/>
    <w:rsid w:val="00BB0639"/>
    <w:rsid w:val="00BB3B9B"/>
    <w:rsid w:val="00BB3C16"/>
    <w:rsid w:val="00BC03EA"/>
    <w:rsid w:val="00BC1669"/>
    <w:rsid w:val="00BC39CA"/>
    <w:rsid w:val="00BC3FCB"/>
    <w:rsid w:val="00BD631F"/>
    <w:rsid w:val="00BD7B82"/>
    <w:rsid w:val="00BF7D56"/>
    <w:rsid w:val="00C03589"/>
    <w:rsid w:val="00C24319"/>
    <w:rsid w:val="00C24705"/>
    <w:rsid w:val="00C317FD"/>
    <w:rsid w:val="00C429FF"/>
    <w:rsid w:val="00C5260F"/>
    <w:rsid w:val="00C568B9"/>
    <w:rsid w:val="00C70A8E"/>
    <w:rsid w:val="00C81C41"/>
    <w:rsid w:val="00C831D8"/>
    <w:rsid w:val="00C92197"/>
    <w:rsid w:val="00C95A41"/>
    <w:rsid w:val="00C966D9"/>
    <w:rsid w:val="00CA3A45"/>
    <w:rsid w:val="00CE0768"/>
    <w:rsid w:val="00CE34B2"/>
    <w:rsid w:val="00CE3A9C"/>
    <w:rsid w:val="00CE4A06"/>
    <w:rsid w:val="00CE7AF6"/>
    <w:rsid w:val="00CF08AE"/>
    <w:rsid w:val="00CF3189"/>
    <w:rsid w:val="00D0167D"/>
    <w:rsid w:val="00D10EB2"/>
    <w:rsid w:val="00D1325A"/>
    <w:rsid w:val="00D21919"/>
    <w:rsid w:val="00D3465F"/>
    <w:rsid w:val="00D372D4"/>
    <w:rsid w:val="00D416BD"/>
    <w:rsid w:val="00D45A09"/>
    <w:rsid w:val="00D53709"/>
    <w:rsid w:val="00D54D53"/>
    <w:rsid w:val="00D56328"/>
    <w:rsid w:val="00D5683C"/>
    <w:rsid w:val="00D61A88"/>
    <w:rsid w:val="00D72EA9"/>
    <w:rsid w:val="00D732C8"/>
    <w:rsid w:val="00D77CFD"/>
    <w:rsid w:val="00D81DF6"/>
    <w:rsid w:val="00D85EF5"/>
    <w:rsid w:val="00DA712E"/>
    <w:rsid w:val="00DB3932"/>
    <w:rsid w:val="00DB452E"/>
    <w:rsid w:val="00DD366B"/>
    <w:rsid w:val="00DD4893"/>
    <w:rsid w:val="00DD7672"/>
    <w:rsid w:val="00DE0DB1"/>
    <w:rsid w:val="00DF4431"/>
    <w:rsid w:val="00DF44B1"/>
    <w:rsid w:val="00DF49A5"/>
    <w:rsid w:val="00E01F21"/>
    <w:rsid w:val="00E02126"/>
    <w:rsid w:val="00E02EDF"/>
    <w:rsid w:val="00E04A9A"/>
    <w:rsid w:val="00E11219"/>
    <w:rsid w:val="00E16299"/>
    <w:rsid w:val="00E17EB5"/>
    <w:rsid w:val="00E252E0"/>
    <w:rsid w:val="00E3365B"/>
    <w:rsid w:val="00E344F5"/>
    <w:rsid w:val="00E3698E"/>
    <w:rsid w:val="00E57908"/>
    <w:rsid w:val="00E6242D"/>
    <w:rsid w:val="00E72F66"/>
    <w:rsid w:val="00E739D3"/>
    <w:rsid w:val="00E806EA"/>
    <w:rsid w:val="00E81647"/>
    <w:rsid w:val="00E8270B"/>
    <w:rsid w:val="00E82DDE"/>
    <w:rsid w:val="00E83DEA"/>
    <w:rsid w:val="00E954DE"/>
    <w:rsid w:val="00E96F39"/>
    <w:rsid w:val="00EA145C"/>
    <w:rsid w:val="00EA658B"/>
    <w:rsid w:val="00EB663D"/>
    <w:rsid w:val="00EC6DD4"/>
    <w:rsid w:val="00ED1594"/>
    <w:rsid w:val="00ED2AED"/>
    <w:rsid w:val="00ED615C"/>
    <w:rsid w:val="00EE5168"/>
    <w:rsid w:val="00EE7AD5"/>
    <w:rsid w:val="00EF0EE9"/>
    <w:rsid w:val="00EF6F67"/>
    <w:rsid w:val="00F00696"/>
    <w:rsid w:val="00F013DD"/>
    <w:rsid w:val="00F021D7"/>
    <w:rsid w:val="00F0250E"/>
    <w:rsid w:val="00F046AF"/>
    <w:rsid w:val="00F050F9"/>
    <w:rsid w:val="00F145C6"/>
    <w:rsid w:val="00F14742"/>
    <w:rsid w:val="00F16821"/>
    <w:rsid w:val="00F1708C"/>
    <w:rsid w:val="00F227E7"/>
    <w:rsid w:val="00F23FE1"/>
    <w:rsid w:val="00F25253"/>
    <w:rsid w:val="00F27651"/>
    <w:rsid w:val="00F325AF"/>
    <w:rsid w:val="00F32920"/>
    <w:rsid w:val="00F34349"/>
    <w:rsid w:val="00F45752"/>
    <w:rsid w:val="00F62747"/>
    <w:rsid w:val="00F6317C"/>
    <w:rsid w:val="00F633E3"/>
    <w:rsid w:val="00F765EB"/>
    <w:rsid w:val="00F8024E"/>
    <w:rsid w:val="00F87BDC"/>
    <w:rsid w:val="00F919A9"/>
    <w:rsid w:val="00F91D09"/>
    <w:rsid w:val="00F95C5E"/>
    <w:rsid w:val="00FA0A40"/>
    <w:rsid w:val="00FA3448"/>
    <w:rsid w:val="00FA5525"/>
    <w:rsid w:val="00FA6E96"/>
    <w:rsid w:val="00FA7415"/>
    <w:rsid w:val="00FB6494"/>
    <w:rsid w:val="00FD230F"/>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50948"/>
  <w15:docId w15:val="{1DD68A90-390F-4DEB-A496-EFBDD08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s odrážkami,Nad1"/>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Nad1 Char"/>
    <w:link w:val="Odstavecseseznamem"/>
    <w:uiPriority w:val="34"/>
    <w:qFormat/>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 w:type="character" w:customStyle="1" w:styleId="Nevyeenzmnka1">
    <w:name w:val="Nevyřešená zmínka1"/>
    <w:basedOn w:val="Standardnpsmoodstavce"/>
    <w:uiPriority w:val="99"/>
    <w:semiHidden/>
    <w:unhideWhenUsed/>
    <w:rsid w:val="00373608"/>
    <w:rPr>
      <w:color w:val="605E5C"/>
      <w:shd w:val="clear" w:color="auto" w:fill="E1DFDD"/>
    </w:rPr>
  </w:style>
  <w:style w:type="table" w:customStyle="1" w:styleId="Mkatabulky1">
    <w:name w:val="Mřížka tabulky1"/>
    <w:basedOn w:val="Normlntabulka"/>
    <w:next w:val="Mkatabulky"/>
    <w:rsid w:val="001D4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E4C0-A0D1-4312-A1E6-23D261A9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11173</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Ciklová Markéta, Ing</cp:lastModifiedBy>
  <cp:revision>2</cp:revision>
  <cp:lastPrinted>2016-11-28T14:42:00Z</cp:lastPrinted>
  <dcterms:created xsi:type="dcterms:W3CDTF">2024-07-16T11:03:00Z</dcterms:created>
  <dcterms:modified xsi:type="dcterms:W3CDTF">2024-07-16T11:03:00Z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