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4EDC8551" w:rsidR="00D516A3" w:rsidRPr="00726B26" w:rsidRDefault="001E540D" w:rsidP="00D516A3">
      <w:pPr>
        <w:rPr>
          <w:b/>
        </w:rPr>
      </w:pPr>
      <w:r>
        <w:rPr>
          <w:b/>
        </w:rPr>
        <w:t>KURÝR JMP s.r.o.</w:t>
      </w:r>
    </w:p>
    <w:p w14:paraId="6C82765F" w14:textId="1D9B320A" w:rsidR="00D516A3" w:rsidRDefault="00D516A3" w:rsidP="00D516A3">
      <w:r>
        <w:t xml:space="preserve">IČO: </w:t>
      </w:r>
      <w:r w:rsidR="001E540D">
        <w:t>03701506</w:t>
      </w:r>
    </w:p>
    <w:p w14:paraId="64040907" w14:textId="0D2C7894" w:rsidR="00D516A3" w:rsidRPr="00512AB9" w:rsidRDefault="00D516A3" w:rsidP="00D516A3">
      <w:r>
        <w:t xml:space="preserve">DIČ: </w:t>
      </w:r>
      <w:r w:rsidR="001E540D">
        <w:t>CZ03701506</w:t>
      </w:r>
    </w:p>
    <w:p w14:paraId="09DB4EC0" w14:textId="7FAA4D69" w:rsidR="00D516A3" w:rsidRPr="00512AB9" w:rsidRDefault="00D516A3" w:rsidP="00D516A3">
      <w:r>
        <w:t>se sídlem</w:t>
      </w:r>
      <w:r w:rsidRPr="00512AB9">
        <w:t xml:space="preserve">: </w:t>
      </w:r>
      <w:r w:rsidR="001E540D">
        <w:t>Šárovcova 880, 503 46 Třebechovice pod Orebem</w:t>
      </w:r>
    </w:p>
    <w:p w14:paraId="3D68E33B" w14:textId="6DAE9F37" w:rsidR="00D516A3" w:rsidRPr="00512AB9" w:rsidRDefault="00D516A3" w:rsidP="00D516A3">
      <w:r>
        <w:t>zastoupena</w:t>
      </w:r>
      <w:r w:rsidRPr="00512AB9">
        <w:t xml:space="preserve">: </w:t>
      </w:r>
      <w:r w:rsidR="001E540D">
        <w:t>Petrou Horákovou, jednatelkou</w:t>
      </w:r>
    </w:p>
    <w:p w14:paraId="7BE23335" w14:textId="7DC114B9" w:rsidR="00D516A3" w:rsidRPr="00512AB9" w:rsidRDefault="00D516A3" w:rsidP="00D516A3">
      <w:r w:rsidRPr="00512AB9">
        <w:t xml:space="preserve">bankovní spojení: </w:t>
      </w:r>
      <w:r w:rsidR="001E540D">
        <w:t>Komerční banka, a.s.</w:t>
      </w:r>
    </w:p>
    <w:p w14:paraId="2FD38439" w14:textId="3377A98D" w:rsidR="00D516A3" w:rsidRPr="00512AB9" w:rsidRDefault="00D516A3" w:rsidP="00D516A3">
      <w:r w:rsidRPr="00512AB9">
        <w:t xml:space="preserve">číslo účtu: </w:t>
      </w:r>
      <w:r w:rsidR="001E540D">
        <w:t>107-9309660227</w:t>
      </w:r>
      <w:r w:rsidR="00C16B8E">
        <w:t>/0100</w:t>
      </w:r>
    </w:p>
    <w:p w14:paraId="60843DDF" w14:textId="68963B8F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1E540D">
        <w:t>Krajským</w:t>
      </w:r>
      <w:r>
        <w:t xml:space="preserve"> </w:t>
      </w:r>
      <w:r w:rsidRPr="00652864">
        <w:t>soudem v</w:t>
      </w:r>
      <w:r w:rsidR="001E540D">
        <w:t> Hradci Králové</w:t>
      </w:r>
      <w:r w:rsidRPr="00652864">
        <w:t xml:space="preserve">, oddíl </w:t>
      </w:r>
      <w:r w:rsidR="001E540D">
        <w:t>C</w:t>
      </w:r>
      <w:r w:rsidRPr="00652864">
        <w:t xml:space="preserve">, vložka </w:t>
      </w:r>
      <w:r w:rsidR="001E540D">
        <w:t>34616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1B7B84D9" w:rsidR="00D516A3" w:rsidRPr="002B77A6" w:rsidRDefault="008228F9" w:rsidP="00D516A3">
      <w:pPr>
        <w:rPr>
          <w:b/>
        </w:rPr>
      </w:pPr>
      <w:r>
        <w:rPr>
          <w:b/>
        </w:rPr>
        <w:t>Fakultní nemocnice Brno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2CE8FB3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AE542D">
        <w:t>Ložní prádlo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90FF690" w14:textId="679C76A0" w:rsidR="008228F9" w:rsidRDefault="00D516A3" w:rsidP="00D516A3">
      <w:pPr>
        <w:pStyle w:val="Psmenoodstavce"/>
        <w:ind w:left="2160" w:hanging="180"/>
      </w:pPr>
      <w:r>
        <w:t>e-mailem na adresu</w:t>
      </w:r>
      <w:r w:rsidR="005D631D">
        <w:rPr>
          <w:rStyle w:val="Hypertextovodkaz"/>
          <w:color w:val="000000" w:themeColor="text1"/>
          <w:u w:val="none"/>
        </w:rPr>
        <w:t xml:space="preserve"> xxx</w:t>
      </w:r>
      <w:r w:rsidR="008228F9" w:rsidRPr="00BB7464">
        <w:rPr>
          <w:color w:val="000000" w:themeColor="text1"/>
        </w:rPr>
        <w:t>;</w:t>
      </w:r>
    </w:p>
    <w:p w14:paraId="4BD7EE51" w14:textId="7679F79E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 w:rsidR="008228F9">
        <w:t>xxxxxxxx</w:t>
      </w:r>
      <w:r>
        <w:t>;</w:t>
      </w:r>
    </w:p>
    <w:p w14:paraId="35DE7FDB" w14:textId="6C8B5166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 w:rsidR="008228F9">
        <w:t>xxxxxxxx.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37B96531" w:rsidR="00D516A3" w:rsidRDefault="00D516A3" w:rsidP="00D516A3">
      <w:pPr>
        <w:pStyle w:val="Odstavecsmlouvy"/>
      </w:pPr>
      <w:r>
        <w:t>V naléhavých případech je Kupující oprávněn učinit Objednávku rovněž telefonicky na čísle</w:t>
      </w:r>
      <w:r w:rsidR="005D631D">
        <w:t xml:space="preserve"> xxx</w:t>
      </w:r>
      <w:r w:rsidR="00730E35">
        <w:t>,</w:t>
      </w:r>
      <w:r w:rsidR="005D631D">
        <w:t xml:space="preserve"> xxx</w:t>
      </w:r>
      <w:r>
        <w:t>.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6583E772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5D631D">
        <w:t xml:space="preserve"> </w:t>
      </w:r>
      <w:r w:rsidR="005D631D">
        <w:rPr>
          <w:rStyle w:val="Hypertextovodkaz"/>
          <w:color w:val="000000" w:themeColor="text1"/>
          <w:u w:val="none"/>
        </w:rPr>
        <w:t>xxx</w:t>
      </w:r>
      <w:r w:rsidRPr="00BB7464">
        <w:rPr>
          <w:color w:val="000000" w:themeColor="text1"/>
        </w:rPr>
        <w:t>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Default="00BE451F" w:rsidP="000C1FD1">
      <w:pPr>
        <w:jc w:val="center"/>
        <w:rPr>
          <w:b/>
          <w:bCs/>
        </w:rPr>
      </w:pPr>
    </w:p>
    <w:p w14:paraId="7B0D512C" w14:textId="77777777" w:rsidR="00DC735B" w:rsidRDefault="00DC735B" w:rsidP="000C1FD1">
      <w:pPr>
        <w:jc w:val="center"/>
        <w:rPr>
          <w:b/>
          <w:bCs/>
        </w:rPr>
      </w:pPr>
    </w:p>
    <w:p w14:paraId="48EFED5C" w14:textId="77777777" w:rsidR="00DC735B" w:rsidRPr="002B77A6" w:rsidRDefault="00DC735B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lastRenderedPageBreak/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3481C8D2" w:rsidR="00014CFB" w:rsidRDefault="00D4030E" w:rsidP="00014CFB">
      <w:pPr>
        <w:pStyle w:val="Odstavecsmlouvy"/>
      </w:pPr>
      <w:r w:rsidRPr="00F90B2F">
        <w:t xml:space="preserve">Místem dodání Zboží je </w:t>
      </w:r>
      <w:r w:rsidRPr="00F90B2F">
        <w:rPr>
          <w:sz w:val="23"/>
          <w:szCs w:val="23"/>
        </w:rPr>
        <w:t>sklad Materiálně-technického zásobování, pracoviště Nemocnice Bohunice a Porodnice (NBP), Jihlavská 20, 625 00 Brno</w:t>
      </w:r>
      <w:r w:rsidRPr="00F90B2F">
        <w:t>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408AC283" w:rsidR="00014CFB" w:rsidRDefault="00014CFB" w:rsidP="00D516A3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D516A3">
        <w:t>Objednávky</w:t>
      </w:r>
      <w:r w:rsidR="004C414C">
        <w:t xml:space="preserve"> </w:t>
      </w:r>
      <w:r w:rsidR="004C414C" w:rsidRPr="004C414C">
        <w:rPr>
          <w:b/>
        </w:rPr>
        <w:t>do 30 pracovních dnů</w:t>
      </w:r>
      <w:r w:rsidR="004C414C">
        <w:t xml:space="preserve"> </w:t>
      </w:r>
      <w:r>
        <w:t>od jejího doručení Prodávající</w:t>
      </w:r>
      <w:r w:rsidR="00EA4C8B">
        <w:t>mu</w:t>
      </w:r>
      <w:bookmarkEnd w:id="5"/>
      <w:bookmarkEnd w:id="6"/>
      <w:r w:rsidR="001078BB">
        <w:t xml:space="preserve">, v naléhavých </w:t>
      </w:r>
      <w:r w:rsidR="001078BB" w:rsidRPr="00D75BB5">
        <w:rPr>
          <w:rFonts w:ascii="ArialMT" w:hAnsi="ArialMT" w:cs="ArialMT"/>
        </w:rPr>
        <w:t xml:space="preserve">případech s dodáním zboží </w:t>
      </w:r>
      <w:r w:rsidR="001078BB" w:rsidRPr="00973D28">
        <w:rPr>
          <w:rFonts w:ascii="ArialMT" w:hAnsi="ArialMT" w:cs="ArialMT"/>
          <w:b/>
        </w:rPr>
        <w:t>do 48 hodin</w:t>
      </w:r>
      <w:r w:rsidR="001078BB" w:rsidRPr="00D75BB5">
        <w:rPr>
          <w:rFonts w:ascii="ArialMT" w:hAnsi="ArialMT" w:cs="ArialMT"/>
        </w:rPr>
        <w:t xml:space="preserve"> od </w:t>
      </w:r>
      <w:r w:rsidR="001078BB">
        <w:rPr>
          <w:rFonts w:ascii="ArialMT" w:hAnsi="ArialMT" w:cs="ArialMT"/>
        </w:rPr>
        <w:t xml:space="preserve">jejího </w:t>
      </w:r>
      <w:r w:rsidR="001078BB" w:rsidRPr="00D75BB5">
        <w:rPr>
          <w:rFonts w:ascii="ArialMT" w:hAnsi="ArialMT" w:cs="ArialMT"/>
        </w:rPr>
        <w:t xml:space="preserve">doručení </w:t>
      </w:r>
      <w:r w:rsidR="001078BB">
        <w:rPr>
          <w:rFonts w:ascii="ArialMT" w:hAnsi="ArialMT" w:cs="ArialMT"/>
        </w:rPr>
        <w:t>Prodávajícímu.</w:t>
      </w:r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6C9EF4DC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  <w:r w:rsidR="000F4960">
        <w:t xml:space="preserve"> Zboží bude baleno po 5, 10, 20 nebo 50 kusech.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 xml:space="preserve">. Škoda na Zboží, která vznikla po přechodu jejího nebezpečí na Kupujícího, nemá vliv na jeho </w:t>
      </w:r>
      <w:r w:rsidRPr="00EE6269">
        <w:rPr>
          <w:iCs/>
        </w:rPr>
        <w:lastRenderedPageBreak/>
        <w:t>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57E0D01A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</w:t>
      </w:r>
      <w:r w:rsidR="00B266B6">
        <w:t>uto poplatku podle zákona č. 541/2020</w:t>
      </w:r>
      <w:r>
        <w:t xml:space="preserve">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17673F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</w:t>
      </w:r>
      <w:r w:rsidRPr="006925A2">
        <w:lastRenderedPageBreak/>
        <w:t>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1069E12A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="00910606">
        <w:t>každý započatý den prodlení.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30F641FA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="00910606">
        <w:t>za každý den prodlení.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731E1306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910606">
        <w:t>1 roku.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624C3CDA" w:rsidR="001E166C" w:rsidRDefault="001E166C" w:rsidP="001E166C">
      <w:pPr>
        <w:pStyle w:val="Odstavecsmlouvy"/>
      </w:pPr>
      <w:r>
        <w:t>Prodávající na sebe přebírá nebezpečí změny okolností dle § 17</w:t>
      </w:r>
      <w:r w:rsidR="000B4DD9">
        <w:t>65 odst. 2 občanského zákoníku.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</w:t>
      </w:r>
      <w:r>
        <w:lastRenderedPageBreak/>
        <w:t xml:space="preserve">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4FCF5BF3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0B4DD9">
        <w:rPr>
          <w:snapToGrid w:val="0"/>
        </w:rPr>
        <w:t xml:space="preserve">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0B4DD9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2600FCF0" w14:textId="77777777" w:rsidR="005D631D" w:rsidRDefault="00D516A3" w:rsidP="004F028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4F0288">
              <w:rPr>
                <w:sz w:val="22"/>
                <w:szCs w:val="22"/>
              </w:rPr>
              <w:t> Třebechovicích pod Orebem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5D631D">
              <w:rPr>
                <w:sz w:val="22"/>
                <w:szCs w:val="22"/>
              </w:rPr>
              <w:t xml:space="preserve"> </w:t>
            </w:r>
          </w:p>
          <w:p w14:paraId="14A42849" w14:textId="0EF45995" w:rsidR="00D516A3" w:rsidRPr="00D722DC" w:rsidRDefault="005D631D" w:rsidP="004F028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4. 7. 2024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4F1D6D2A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D631D">
              <w:rPr>
                <w:sz w:val="22"/>
                <w:szCs w:val="22"/>
              </w:rPr>
              <w:t xml:space="preserve"> 15. 7. 2024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4902E369" w:rsidR="00D516A3" w:rsidRPr="00D722DC" w:rsidRDefault="004F0288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KURÝR JMP s.r.o.</w:t>
            </w:r>
          </w:p>
          <w:p w14:paraId="0DBDD8DB" w14:textId="05343128" w:rsidR="00D516A3" w:rsidRPr="00D722DC" w:rsidRDefault="004F0288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Horáková, jednatelka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D" w14:textId="43CF5168" w:rsidR="00575F84" w:rsidRDefault="00575F84" w:rsidP="00575F8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2409"/>
        <w:gridCol w:w="1701"/>
        <w:gridCol w:w="2129"/>
      </w:tblGrid>
      <w:tr w:rsidR="00BC383D" w:rsidRPr="000917A2" w14:paraId="0574DC85" w14:textId="77777777" w:rsidTr="0068392A">
        <w:trPr>
          <w:trHeight w:val="301"/>
        </w:trPr>
        <w:tc>
          <w:tcPr>
            <w:tcW w:w="1384" w:type="dxa"/>
          </w:tcPr>
          <w:p w14:paraId="70DC7D77" w14:textId="5F0626F1" w:rsidR="00BC383D" w:rsidRPr="000917A2" w:rsidRDefault="00BC383D" w:rsidP="000917A2">
            <w:pPr>
              <w:jc w:val="center"/>
              <w:rPr>
                <w:b/>
              </w:rPr>
            </w:pPr>
            <w:r w:rsidRPr="000917A2">
              <w:rPr>
                <w:b/>
              </w:rPr>
              <w:t>položka č.</w:t>
            </w:r>
          </w:p>
        </w:tc>
        <w:tc>
          <w:tcPr>
            <w:tcW w:w="6521" w:type="dxa"/>
          </w:tcPr>
          <w:p w14:paraId="55C62362" w14:textId="0A10C428" w:rsidR="00BC383D" w:rsidRPr="000917A2" w:rsidRDefault="00BC383D" w:rsidP="00023008">
            <w:pPr>
              <w:rPr>
                <w:b/>
              </w:rPr>
            </w:pPr>
            <w:r w:rsidRPr="000917A2">
              <w:rPr>
                <w:b/>
              </w:rPr>
              <w:t>název</w:t>
            </w:r>
          </w:p>
        </w:tc>
        <w:tc>
          <w:tcPr>
            <w:tcW w:w="2409" w:type="dxa"/>
          </w:tcPr>
          <w:p w14:paraId="2D4848D6" w14:textId="50BDB9D6" w:rsidR="00BC383D" w:rsidRPr="000917A2" w:rsidRDefault="00BC383D" w:rsidP="000917A2">
            <w:pPr>
              <w:jc w:val="center"/>
              <w:rPr>
                <w:b/>
              </w:rPr>
            </w:pPr>
            <w:r w:rsidRPr="000917A2">
              <w:rPr>
                <w:b/>
              </w:rPr>
              <w:t xml:space="preserve">cena </w:t>
            </w:r>
            <w:r w:rsidR="0068392A">
              <w:rPr>
                <w:b/>
              </w:rPr>
              <w:t xml:space="preserve">v Kč </w:t>
            </w:r>
            <w:r w:rsidRPr="000917A2">
              <w:rPr>
                <w:b/>
              </w:rPr>
              <w:t>bez DPH / 1 ks</w:t>
            </w:r>
          </w:p>
        </w:tc>
        <w:tc>
          <w:tcPr>
            <w:tcW w:w="1701" w:type="dxa"/>
          </w:tcPr>
          <w:p w14:paraId="491EF23D" w14:textId="15115593" w:rsidR="00BC383D" w:rsidRPr="000917A2" w:rsidRDefault="00BC383D" w:rsidP="000917A2">
            <w:pPr>
              <w:jc w:val="center"/>
              <w:rPr>
                <w:b/>
              </w:rPr>
            </w:pPr>
            <w:r w:rsidRPr="000917A2">
              <w:rPr>
                <w:b/>
              </w:rPr>
              <w:t>DPH 21%</w:t>
            </w:r>
          </w:p>
        </w:tc>
        <w:tc>
          <w:tcPr>
            <w:tcW w:w="2129" w:type="dxa"/>
          </w:tcPr>
          <w:p w14:paraId="433FE65A" w14:textId="6A6659BD" w:rsidR="00BC383D" w:rsidRPr="000917A2" w:rsidRDefault="000917A2" w:rsidP="000917A2">
            <w:pPr>
              <w:jc w:val="center"/>
              <w:rPr>
                <w:b/>
              </w:rPr>
            </w:pPr>
            <w:r w:rsidRPr="000917A2">
              <w:rPr>
                <w:b/>
              </w:rPr>
              <w:t xml:space="preserve">cena </w:t>
            </w:r>
            <w:r w:rsidR="0068392A">
              <w:rPr>
                <w:b/>
              </w:rPr>
              <w:t xml:space="preserve">v Kč </w:t>
            </w:r>
            <w:r w:rsidRPr="000917A2">
              <w:rPr>
                <w:b/>
              </w:rPr>
              <w:t>s DPH / 1 ks</w:t>
            </w:r>
          </w:p>
        </w:tc>
      </w:tr>
      <w:tr w:rsidR="003E0141" w14:paraId="2D7871CD" w14:textId="77777777" w:rsidTr="0068392A">
        <w:tc>
          <w:tcPr>
            <w:tcW w:w="1384" w:type="dxa"/>
          </w:tcPr>
          <w:p w14:paraId="6F3C9B47" w14:textId="5B67AC70" w:rsidR="003E0141" w:rsidRDefault="003E0141" w:rsidP="003E0141">
            <w:pPr>
              <w:jc w:val="center"/>
            </w:pPr>
            <w:r>
              <w:t>1</w:t>
            </w:r>
          </w:p>
        </w:tc>
        <w:tc>
          <w:tcPr>
            <w:tcW w:w="6521" w:type="dxa"/>
          </w:tcPr>
          <w:p w14:paraId="031DDF25" w14:textId="76505121" w:rsidR="003E0141" w:rsidRDefault="003E0141" w:rsidP="003E0141">
            <w:r w:rsidRPr="000917A2">
              <w:t>Podložka ložní</w:t>
            </w:r>
            <w:r>
              <w:t xml:space="preserve"> 140 x 170 cm</w:t>
            </w:r>
          </w:p>
        </w:tc>
        <w:tc>
          <w:tcPr>
            <w:tcW w:w="2409" w:type="dxa"/>
          </w:tcPr>
          <w:p w14:paraId="2C0634BB" w14:textId="6E15EC3A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0521BCCF" w14:textId="31E7A9FE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7A5517A1" w14:textId="711A7D6A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09D46453" w14:textId="77777777" w:rsidTr="0068392A">
        <w:tc>
          <w:tcPr>
            <w:tcW w:w="1384" w:type="dxa"/>
          </w:tcPr>
          <w:p w14:paraId="00B2981F" w14:textId="334F1B75" w:rsidR="003E0141" w:rsidRDefault="003E0141" w:rsidP="003E0141">
            <w:pPr>
              <w:jc w:val="center"/>
            </w:pPr>
            <w:r>
              <w:t>2</w:t>
            </w:r>
          </w:p>
        </w:tc>
        <w:tc>
          <w:tcPr>
            <w:tcW w:w="6521" w:type="dxa"/>
          </w:tcPr>
          <w:p w14:paraId="5E829E26" w14:textId="3BF84E08" w:rsidR="003E0141" w:rsidRDefault="003E0141" w:rsidP="003E0141">
            <w:r w:rsidRPr="000917A2">
              <w:t>Povlak na polštář malý</w:t>
            </w:r>
          </w:p>
        </w:tc>
        <w:tc>
          <w:tcPr>
            <w:tcW w:w="2409" w:type="dxa"/>
          </w:tcPr>
          <w:p w14:paraId="53F9FD2F" w14:textId="5A144FD3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3872D029" w14:textId="1F714945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27A897CD" w14:textId="204A3C94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1338A287" w14:textId="77777777" w:rsidTr="0068392A">
        <w:tc>
          <w:tcPr>
            <w:tcW w:w="1384" w:type="dxa"/>
          </w:tcPr>
          <w:p w14:paraId="34197741" w14:textId="7CDD1804" w:rsidR="003E0141" w:rsidRDefault="003E0141" w:rsidP="003E0141">
            <w:pPr>
              <w:jc w:val="center"/>
            </w:pPr>
            <w:r>
              <w:t>3</w:t>
            </w:r>
          </w:p>
        </w:tc>
        <w:tc>
          <w:tcPr>
            <w:tcW w:w="6521" w:type="dxa"/>
          </w:tcPr>
          <w:p w14:paraId="5000CDCE" w14:textId="375C6F69" w:rsidR="003E0141" w:rsidRDefault="003E0141" w:rsidP="003E0141">
            <w:r w:rsidRPr="000917A2">
              <w:t>Povlak na polštář velký</w:t>
            </w:r>
            <w:r>
              <w:t xml:space="preserve"> 70 x 90 cm</w:t>
            </w:r>
          </w:p>
        </w:tc>
        <w:tc>
          <w:tcPr>
            <w:tcW w:w="2409" w:type="dxa"/>
          </w:tcPr>
          <w:p w14:paraId="49E445D5" w14:textId="58473B13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5557C8BB" w14:textId="5814A74B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23BC8B4C" w14:textId="5B02B0FD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5A7A7A3C" w14:textId="77777777" w:rsidTr="0068392A">
        <w:tc>
          <w:tcPr>
            <w:tcW w:w="1384" w:type="dxa"/>
          </w:tcPr>
          <w:p w14:paraId="7EBFC631" w14:textId="48EF3A5A" w:rsidR="003E0141" w:rsidRDefault="003E0141" w:rsidP="003E0141">
            <w:pPr>
              <w:jc w:val="center"/>
            </w:pPr>
            <w:r>
              <w:t>4</w:t>
            </w:r>
          </w:p>
        </w:tc>
        <w:tc>
          <w:tcPr>
            <w:tcW w:w="6521" w:type="dxa"/>
          </w:tcPr>
          <w:p w14:paraId="1E234C00" w14:textId="5CE7AE8F" w:rsidR="003E0141" w:rsidRDefault="003E0141" w:rsidP="003E0141">
            <w:r w:rsidRPr="000917A2">
              <w:t>Povlak na přikrývku malý</w:t>
            </w:r>
          </w:p>
        </w:tc>
        <w:tc>
          <w:tcPr>
            <w:tcW w:w="2409" w:type="dxa"/>
          </w:tcPr>
          <w:p w14:paraId="4B275BC3" w14:textId="3FB2378C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3FF837C8" w14:textId="2B62D02C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3080DBBC" w14:textId="114CAEBB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600D9137" w14:textId="77777777" w:rsidTr="0068392A">
        <w:tc>
          <w:tcPr>
            <w:tcW w:w="1384" w:type="dxa"/>
          </w:tcPr>
          <w:p w14:paraId="27B03FD1" w14:textId="1C9E73ED" w:rsidR="003E0141" w:rsidRDefault="003E0141" w:rsidP="003E0141">
            <w:pPr>
              <w:jc w:val="center"/>
            </w:pPr>
            <w:r>
              <w:t>5</w:t>
            </w:r>
          </w:p>
        </w:tc>
        <w:tc>
          <w:tcPr>
            <w:tcW w:w="6521" w:type="dxa"/>
          </w:tcPr>
          <w:p w14:paraId="2F8CFD9C" w14:textId="3AA603CC" w:rsidR="003E0141" w:rsidRDefault="003E0141" w:rsidP="003E0141">
            <w:r w:rsidRPr="000917A2">
              <w:t>Povlak na přikrývku velký</w:t>
            </w:r>
            <w:r>
              <w:t xml:space="preserve"> 140 x 220 cm</w:t>
            </w:r>
          </w:p>
        </w:tc>
        <w:tc>
          <w:tcPr>
            <w:tcW w:w="2409" w:type="dxa"/>
          </w:tcPr>
          <w:p w14:paraId="4EEA047D" w14:textId="3309C210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02BB1FCF" w14:textId="08D8FF5B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5FBFE6FE" w14:textId="45D80716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64960319" w14:textId="77777777" w:rsidTr="0068392A">
        <w:tc>
          <w:tcPr>
            <w:tcW w:w="1384" w:type="dxa"/>
          </w:tcPr>
          <w:p w14:paraId="0388CDE4" w14:textId="05D20DCA" w:rsidR="003E0141" w:rsidRDefault="003E0141" w:rsidP="003E0141">
            <w:pPr>
              <w:jc w:val="center"/>
            </w:pPr>
            <w:r>
              <w:t>6</w:t>
            </w:r>
          </w:p>
        </w:tc>
        <w:tc>
          <w:tcPr>
            <w:tcW w:w="6521" w:type="dxa"/>
          </w:tcPr>
          <w:p w14:paraId="324F4E50" w14:textId="46096EB5" w:rsidR="003E0141" w:rsidRDefault="003E0141" w:rsidP="003E0141">
            <w:r w:rsidRPr="000917A2">
              <w:t>Prostěradlo velké bílé</w:t>
            </w:r>
            <w:r>
              <w:t xml:space="preserve"> 140 x 260 cm</w:t>
            </w:r>
          </w:p>
        </w:tc>
        <w:tc>
          <w:tcPr>
            <w:tcW w:w="2409" w:type="dxa"/>
          </w:tcPr>
          <w:p w14:paraId="277C2C87" w14:textId="1866AF3D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61C50C3C" w14:textId="07C8F198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5F7347CA" w14:textId="0B94B7F4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074E4AF7" w14:textId="77777777" w:rsidTr="0068392A">
        <w:tc>
          <w:tcPr>
            <w:tcW w:w="1384" w:type="dxa"/>
          </w:tcPr>
          <w:p w14:paraId="6A01B371" w14:textId="5F45D053" w:rsidR="003E0141" w:rsidRDefault="003E0141" w:rsidP="003E0141">
            <w:pPr>
              <w:jc w:val="center"/>
            </w:pPr>
            <w:r>
              <w:t>7</w:t>
            </w:r>
          </w:p>
        </w:tc>
        <w:tc>
          <w:tcPr>
            <w:tcW w:w="6521" w:type="dxa"/>
          </w:tcPr>
          <w:p w14:paraId="5E4DDC54" w14:textId="50FEEFE4" w:rsidR="003E0141" w:rsidRDefault="003E0141" w:rsidP="003E0141">
            <w:r w:rsidRPr="000917A2">
              <w:t>Prostěradlo malé elastické s gumou</w:t>
            </w:r>
          </w:p>
        </w:tc>
        <w:tc>
          <w:tcPr>
            <w:tcW w:w="2409" w:type="dxa"/>
          </w:tcPr>
          <w:p w14:paraId="6C0A5A08" w14:textId="365D7F5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642CC4BD" w14:textId="42E91C26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24846CCA" w14:textId="6361C0C3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614566C8" w14:textId="77777777" w:rsidTr="0068392A">
        <w:tc>
          <w:tcPr>
            <w:tcW w:w="1384" w:type="dxa"/>
          </w:tcPr>
          <w:p w14:paraId="5BFFB3F4" w14:textId="1455D978" w:rsidR="003E0141" w:rsidRDefault="003E0141" w:rsidP="003E0141">
            <w:pPr>
              <w:jc w:val="center"/>
            </w:pPr>
            <w:r>
              <w:t>8</w:t>
            </w:r>
          </w:p>
        </w:tc>
        <w:tc>
          <w:tcPr>
            <w:tcW w:w="6521" w:type="dxa"/>
          </w:tcPr>
          <w:p w14:paraId="7BA78BDA" w14:textId="74C8DD1B" w:rsidR="003E0141" w:rsidRDefault="003E0141" w:rsidP="003E0141">
            <w:r w:rsidRPr="000917A2">
              <w:t>Prostěradlo velké elastické s</w:t>
            </w:r>
            <w:r>
              <w:t> </w:t>
            </w:r>
            <w:r w:rsidRPr="000917A2">
              <w:t>gumou</w:t>
            </w:r>
          </w:p>
        </w:tc>
        <w:tc>
          <w:tcPr>
            <w:tcW w:w="2409" w:type="dxa"/>
          </w:tcPr>
          <w:p w14:paraId="65AD1FD5" w14:textId="3BEA1D3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3DAB0F1D" w14:textId="03E9C609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666F921E" w14:textId="382CF0BA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33B2B5F0" w14:textId="77777777" w:rsidTr="0068392A">
        <w:tc>
          <w:tcPr>
            <w:tcW w:w="1384" w:type="dxa"/>
          </w:tcPr>
          <w:p w14:paraId="616CD227" w14:textId="69FA7DA5" w:rsidR="003E0141" w:rsidRDefault="003E0141" w:rsidP="003E0141">
            <w:pPr>
              <w:jc w:val="center"/>
            </w:pPr>
            <w:r>
              <w:t>9</w:t>
            </w:r>
          </w:p>
        </w:tc>
        <w:tc>
          <w:tcPr>
            <w:tcW w:w="6521" w:type="dxa"/>
          </w:tcPr>
          <w:p w14:paraId="26C6FF61" w14:textId="6D142DB3" w:rsidR="003E0141" w:rsidRPr="000917A2" w:rsidRDefault="003E0141" w:rsidP="003E0141">
            <w:r w:rsidRPr="000917A2">
              <w:t>Prostěradlo velké zelené / tyrkysové</w:t>
            </w:r>
            <w:r>
              <w:t xml:space="preserve"> 140 x 260 cm</w:t>
            </w:r>
          </w:p>
        </w:tc>
        <w:tc>
          <w:tcPr>
            <w:tcW w:w="2409" w:type="dxa"/>
          </w:tcPr>
          <w:p w14:paraId="3B400494" w14:textId="1F6EC7AE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21FC8187" w14:textId="3A5EEDC9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6F01D0C3" w14:textId="2F1BDB06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19CDF081" w14:textId="77777777" w:rsidTr="0068392A">
        <w:tc>
          <w:tcPr>
            <w:tcW w:w="1384" w:type="dxa"/>
          </w:tcPr>
          <w:p w14:paraId="154DF31B" w14:textId="0C904AED" w:rsidR="003E0141" w:rsidRDefault="003E0141" w:rsidP="003E0141">
            <w:pPr>
              <w:jc w:val="center"/>
            </w:pPr>
            <w:r>
              <w:t>10</w:t>
            </w:r>
          </w:p>
        </w:tc>
        <w:tc>
          <w:tcPr>
            <w:tcW w:w="6521" w:type="dxa"/>
          </w:tcPr>
          <w:p w14:paraId="6A740528" w14:textId="484278EE" w:rsidR="003E0141" w:rsidRPr="000917A2" w:rsidRDefault="003E0141" w:rsidP="003E0141">
            <w:r w:rsidRPr="000917A2">
              <w:t>Rouška operační malá</w:t>
            </w:r>
            <w:r>
              <w:t xml:space="preserve"> 90 x 90 cm</w:t>
            </w:r>
          </w:p>
        </w:tc>
        <w:tc>
          <w:tcPr>
            <w:tcW w:w="2409" w:type="dxa"/>
          </w:tcPr>
          <w:p w14:paraId="7FF6D221" w14:textId="77EF20BF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3AE82CD5" w14:textId="66D4F96E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780CB022" w14:textId="5AAE4BA5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0FD2ED9B" w14:textId="77777777" w:rsidTr="0068392A">
        <w:tc>
          <w:tcPr>
            <w:tcW w:w="1384" w:type="dxa"/>
          </w:tcPr>
          <w:p w14:paraId="1E164036" w14:textId="29F21CAA" w:rsidR="003E0141" w:rsidRDefault="003E0141" w:rsidP="003E0141">
            <w:pPr>
              <w:jc w:val="center"/>
            </w:pPr>
            <w:r>
              <w:t>11</w:t>
            </w:r>
          </w:p>
        </w:tc>
        <w:tc>
          <w:tcPr>
            <w:tcW w:w="6521" w:type="dxa"/>
          </w:tcPr>
          <w:p w14:paraId="56AA185B" w14:textId="64BC5F8A" w:rsidR="003E0141" w:rsidRPr="000917A2" w:rsidRDefault="003E0141" w:rsidP="003E0141">
            <w:r w:rsidRPr="000917A2">
              <w:t>Rouška operační střední</w:t>
            </w:r>
          </w:p>
        </w:tc>
        <w:tc>
          <w:tcPr>
            <w:tcW w:w="2409" w:type="dxa"/>
          </w:tcPr>
          <w:p w14:paraId="56753280" w14:textId="2BC8249E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691F315D" w14:textId="1371E0C2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6CB5A6F5" w14:textId="6B98EA4E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41B9CDC1" w14:textId="77777777" w:rsidTr="0068392A">
        <w:tc>
          <w:tcPr>
            <w:tcW w:w="1384" w:type="dxa"/>
          </w:tcPr>
          <w:p w14:paraId="3C4D8C89" w14:textId="101737EA" w:rsidR="003E0141" w:rsidRDefault="003E0141" w:rsidP="003E0141">
            <w:pPr>
              <w:jc w:val="center"/>
            </w:pPr>
            <w:r>
              <w:t>12</w:t>
            </w:r>
          </w:p>
        </w:tc>
        <w:tc>
          <w:tcPr>
            <w:tcW w:w="6521" w:type="dxa"/>
          </w:tcPr>
          <w:p w14:paraId="06154927" w14:textId="6CE6A34E" w:rsidR="003E0141" w:rsidRPr="000917A2" w:rsidRDefault="003E0141" w:rsidP="003E0141">
            <w:r w:rsidRPr="000917A2">
              <w:t>Rouška operační velká</w:t>
            </w:r>
          </w:p>
        </w:tc>
        <w:tc>
          <w:tcPr>
            <w:tcW w:w="2409" w:type="dxa"/>
          </w:tcPr>
          <w:p w14:paraId="79A4076D" w14:textId="38318429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24BDCB86" w14:textId="12C8264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20358EF3" w14:textId="6461ABB8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6A956055" w14:textId="77777777" w:rsidTr="0068392A">
        <w:tc>
          <w:tcPr>
            <w:tcW w:w="1384" w:type="dxa"/>
          </w:tcPr>
          <w:p w14:paraId="7240B47E" w14:textId="7F9D8327" w:rsidR="003E0141" w:rsidRDefault="003E0141" w:rsidP="003E0141">
            <w:pPr>
              <w:jc w:val="center"/>
            </w:pPr>
            <w:r>
              <w:t>13</w:t>
            </w:r>
          </w:p>
        </w:tc>
        <w:tc>
          <w:tcPr>
            <w:tcW w:w="6521" w:type="dxa"/>
          </w:tcPr>
          <w:p w14:paraId="37594D3F" w14:textId="69F1EA51" w:rsidR="003E0141" w:rsidRPr="000917A2" w:rsidRDefault="003E0141" w:rsidP="003E0141">
            <w:r w:rsidRPr="000917A2">
              <w:t>Osuška froté</w:t>
            </w:r>
            <w:r>
              <w:t xml:space="preserve"> 70 x 140 cm</w:t>
            </w:r>
          </w:p>
        </w:tc>
        <w:tc>
          <w:tcPr>
            <w:tcW w:w="2409" w:type="dxa"/>
          </w:tcPr>
          <w:p w14:paraId="77F52CF2" w14:textId="5EA7ECAA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13CA2F8F" w14:textId="237052CC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4E8F4D4D" w14:textId="12059594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3C61A346" w14:textId="77777777" w:rsidTr="0068392A">
        <w:tc>
          <w:tcPr>
            <w:tcW w:w="1384" w:type="dxa"/>
          </w:tcPr>
          <w:p w14:paraId="7A3C2CF8" w14:textId="3C81FF3D" w:rsidR="003E0141" w:rsidRDefault="003E0141" w:rsidP="003E0141">
            <w:pPr>
              <w:jc w:val="center"/>
            </w:pPr>
            <w:r>
              <w:t>14</w:t>
            </w:r>
          </w:p>
        </w:tc>
        <w:tc>
          <w:tcPr>
            <w:tcW w:w="6521" w:type="dxa"/>
          </w:tcPr>
          <w:p w14:paraId="71961A9B" w14:textId="1EEC2058" w:rsidR="003E0141" w:rsidRPr="000917A2" w:rsidRDefault="003E0141" w:rsidP="003E0141">
            <w:r w:rsidRPr="000917A2">
              <w:t>Ručník froté</w:t>
            </w:r>
            <w:r>
              <w:t xml:space="preserve"> 50 x 70 cm</w:t>
            </w:r>
          </w:p>
        </w:tc>
        <w:tc>
          <w:tcPr>
            <w:tcW w:w="2409" w:type="dxa"/>
          </w:tcPr>
          <w:p w14:paraId="26879788" w14:textId="6B2F127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3ACD138C" w14:textId="27252504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6873C536" w14:textId="7B47F92C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49EBD042" w14:textId="77777777" w:rsidTr="0068392A">
        <w:tc>
          <w:tcPr>
            <w:tcW w:w="1384" w:type="dxa"/>
          </w:tcPr>
          <w:p w14:paraId="148AAE3A" w14:textId="76A1535B" w:rsidR="003E0141" w:rsidRDefault="003E0141" w:rsidP="003E0141">
            <w:pPr>
              <w:jc w:val="center"/>
            </w:pPr>
            <w:r>
              <w:t>15</w:t>
            </w:r>
          </w:p>
        </w:tc>
        <w:tc>
          <w:tcPr>
            <w:tcW w:w="6521" w:type="dxa"/>
          </w:tcPr>
          <w:p w14:paraId="274AAB7B" w14:textId="05722EA3" w:rsidR="003E0141" w:rsidRPr="000917A2" w:rsidRDefault="003E0141" w:rsidP="003E0141">
            <w:r w:rsidRPr="000917A2">
              <w:t>Ručník obyčejný</w:t>
            </w:r>
            <w:r>
              <w:t xml:space="preserve"> 50 x 100 cm</w:t>
            </w:r>
          </w:p>
        </w:tc>
        <w:tc>
          <w:tcPr>
            <w:tcW w:w="2409" w:type="dxa"/>
          </w:tcPr>
          <w:p w14:paraId="76A1614D" w14:textId="07E36D58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281EBC16" w14:textId="5709DA2D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3E226E3C" w14:textId="132F05D9" w:rsidR="003E0141" w:rsidRDefault="003E0141" w:rsidP="003E0141">
            <w:pPr>
              <w:jc w:val="right"/>
            </w:pPr>
            <w:r>
              <w:t>xxx</w:t>
            </w:r>
          </w:p>
        </w:tc>
        <w:bookmarkStart w:id="9" w:name="_GoBack"/>
        <w:bookmarkEnd w:id="9"/>
      </w:tr>
      <w:tr w:rsidR="003E0141" w14:paraId="5814FD40" w14:textId="77777777" w:rsidTr="0068392A">
        <w:tc>
          <w:tcPr>
            <w:tcW w:w="1384" w:type="dxa"/>
          </w:tcPr>
          <w:p w14:paraId="119C32E3" w14:textId="38446268" w:rsidR="003E0141" w:rsidRDefault="003E0141" w:rsidP="003E0141">
            <w:pPr>
              <w:jc w:val="center"/>
            </w:pPr>
            <w:r>
              <w:t>16</w:t>
            </w:r>
          </w:p>
        </w:tc>
        <w:tc>
          <w:tcPr>
            <w:tcW w:w="6521" w:type="dxa"/>
          </w:tcPr>
          <w:p w14:paraId="3058F0ED" w14:textId="18F0BC8F" w:rsidR="003E0141" w:rsidRPr="000917A2" w:rsidRDefault="003E0141" w:rsidP="003E0141">
            <w:r w:rsidRPr="000917A2">
              <w:t>Utěrka lněná</w:t>
            </w:r>
          </w:p>
        </w:tc>
        <w:tc>
          <w:tcPr>
            <w:tcW w:w="2409" w:type="dxa"/>
          </w:tcPr>
          <w:p w14:paraId="5F1F925B" w14:textId="3AE678D9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593E9A3A" w14:textId="3003D46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51AF95DC" w14:textId="0E0008DD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35CFE8F2" w14:textId="77777777" w:rsidTr="0068392A">
        <w:tc>
          <w:tcPr>
            <w:tcW w:w="1384" w:type="dxa"/>
          </w:tcPr>
          <w:p w14:paraId="20ECE596" w14:textId="042862E9" w:rsidR="003E0141" w:rsidRDefault="003E0141" w:rsidP="003E0141">
            <w:pPr>
              <w:jc w:val="center"/>
            </w:pPr>
            <w:r>
              <w:t>17</w:t>
            </w:r>
          </w:p>
        </w:tc>
        <w:tc>
          <w:tcPr>
            <w:tcW w:w="6521" w:type="dxa"/>
          </w:tcPr>
          <w:p w14:paraId="3B306B1B" w14:textId="3E373690" w:rsidR="003E0141" w:rsidRPr="000917A2" w:rsidRDefault="003E0141" w:rsidP="003E0141">
            <w:r>
              <w:t>Ubrus</w:t>
            </w:r>
          </w:p>
        </w:tc>
        <w:tc>
          <w:tcPr>
            <w:tcW w:w="2409" w:type="dxa"/>
          </w:tcPr>
          <w:p w14:paraId="4B89CCD0" w14:textId="36B6F94B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008337E2" w14:textId="1DF75386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4503974B" w14:textId="3260AE26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369B1BAD" w14:textId="77777777" w:rsidTr="0068392A">
        <w:tc>
          <w:tcPr>
            <w:tcW w:w="1384" w:type="dxa"/>
          </w:tcPr>
          <w:p w14:paraId="429C7E7C" w14:textId="75BB1743" w:rsidR="003E0141" w:rsidRDefault="003E0141" w:rsidP="003E0141">
            <w:pPr>
              <w:jc w:val="center"/>
            </w:pPr>
            <w:r>
              <w:t>18</w:t>
            </w:r>
          </w:p>
        </w:tc>
        <w:tc>
          <w:tcPr>
            <w:tcW w:w="6521" w:type="dxa"/>
          </w:tcPr>
          <w:p w14:paraId="08AD41DA" w14:textId="25784ADF" w:rsidR="003E0141" w:rsidRDefault="003E0141" w:rsidP="003E0141">
            <w:r w:rsidRPr="000917A2">
              <w:t>Plena dětská</w:t>
            </w:r>
            <w:r>
              <w:t xml:space="preserve"> 80 x 80 cm</w:t>
            </w:r>
          </w:p>
        </w:tc>
        <w:tc>
          <w:tcPr>
            <w:tcW w:w="2409" w:type="dxa"/>
          </w:tcPr>
          <w:p w14:paraId="79C403C3" w14:textId="248691A2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6FD13930" w14:textId="344BFDB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488BCF43" w14:textId="4205B38F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1B33A868" w14:textId="77777777" w:rsidTr="0068392A">
        <w:tc>
          <w:tcPr>
            <w:tcW w:w="1384" w:type="dxa"/>
          </w:tcPr>
          <w:p w14:paraId="4BD7EED0" w14:textId="27D070E1" w:rsidR="003E0141" w:rsidRDefault="003E0141" w:rsidP="003E0141">
            <w:pPr>
              <w:jc w:val="center"/>
            </w:pPr>
            <w:r>
              <w:t>19</w:t>
            </w:r>
          </w:p>
        </w:tc>
        <w:tc>
          <w:tcPr>
            <w:tcW w:w="6521" w:type="dxa"/>
          </w:tcPr>
          <w:p w14:paraId="35F18E36" w14:textId="18DF5B5B" w:rsidR="003E0141" w:rsidRPr="000917A2" w:rsidRDefault="003E0141" w:rsidP="003E0141">
            <w:r w:rsidRPr="0068392A">
              <w:t xml:space="preserve">Plena tetra </w:t>
            </w:r>
            <w:r>
              <w:t>70 x 70 cm</w:t>
            </w:r>
          </w:p>
        </w:tc>
        <w:tc>
          <w:tcPr>
            <w:tcW w:w="2409" w:type="dxa"/>
          </w:tcPr>
          <w:p w14:paraId="0EE96FA2" w14:textId="598DB018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2C6C4E4E" w14:textId="62504A1D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5204BF81" w14:textId="6FC640ED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04999A40" w14:textId="77777777" w:rsidTr="0068392A">
        <w:tc>
          <w:tcPr>
            <w:tcW w:w="1384" w:type="dxa"/>
          </w:tcPr>
          <w:p w14:paraId="1B8CBF6B" w14:textId="13BF39A8" w:rsidR="003E0141" w:rsidRDefault="003E0141" w:rsidP="003E0141">
            <w:pPr>
              <w:jc w:val="center"/>
            </w:pPr>
            <w:r>
              <w:t>20</w:t>
            </w:r>
          </w:p>
        </w:tc>
        <w:tc>
          <w:tcPr>
            <w:tcW w:w="6521" w:type="dxa"/>
          </w:tcPr>
          <w:p w14:paraId="019824F8" w14:textId="5E6FE2EB" w:rsidR="003E0141" w:rsidRPr="0068392A" w:rsidRDefault="003E0141" w:rsidP="003E0141">
            <w:r w:rsidRPr="0068392A">
              <w:t>Prostěradlo malé bílé</w:t>
            </w:r>
          </w:p>
        </w:tc>
        <w:tc>
          <w:tcPr>
            <w:tcW w:w="2409" w:type="dxa"/>
          </w:tcPr>
          <w:p w14:paraId="44CF014E" w14:textId="2BA9640F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5471E48D" w14:textId="3D381A12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3059EB03" w14:textId="23B5A4FB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2BEAB19A" w14:textId="77777777" w:rsidTr="0068392A">
        <w:tc>
          <w:tcPr>
            <w:tcW w:w="1384" w:type="dxa"/>
          </w:tcPr>
          <w:p w14:paraId="31D7AC01" w14:textId="65AC3277" w:rsidR="003E0141" w:rsidRDefault="003E0141" w:rsidP="003E0141">
            <w:pPr>
              <w:jc w:val="center"/>
            </w:pPr>
            <w:r>
              <w:t>21</w:t>
            </w:r>
          </w:p>
        </w:tc>
        <w:tc>
          <w:tcPr>
            <w:tcW w:w="6521" w:type="dxa"/>
          </w:tcPr>
          <w:p w14:paraId="39EE7FF3" w14:textId="7C761A39" w:rsidR="003E0141" w:rsidRPr="0068392A" w:rsidRDefault="003E0141" w:rsidP="003E0141">
            <w:r w:rsidRPr="0068392A">
              <w:t>Zavinovačka kojenecká s</w:t>
            </w:r>
            <w:r>
              <w:t> </w:t>
            </w:r>
            <w:r w:rsidRPr="0068392A">
              <w:t>tkanicemi</w:t>
            </w:r>
          </w:p>
        </w:tc>
        <w:tc>
          <w:tcPr>
            <w:tcW w:w="2409" w:type="dxa"/>
          </w:tcPr>
          <w:p w14:paraId="0DAF6219" w14:textId="1C705709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1C53243D" w14:textId="2C4CEEB8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3CA1F2C1" w14:textId="0A8705C8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1728B430" w14:textId="77777777" w:rsidTr="0068392A">
        <w:tc>
          <w:tcPr>
            <w:tcW w:w="1384" w:type="dxa"/>
          </w:tcPr>
          <w:p w14:paraId="6833B80C" w14:textId="59D9005B" w:rsidR="003E0141" w:rsidRDefault="003E0141" w:rsidP="003E0141">
            <w:pPr>
              <w:jc w:val="center"/>
            </w:pPr>
            <w:r>
              <w:t>22</w:t>
            </w:r>
          </w:p>
        </w:tc>
        <w:tc>
          <w:tcPr>
            <w:tcW w:w="6521" w:type="dxa"/>
          </w:tcPr>
          <w:p w14:paraId="23289A99" w14:textId="0308075F" w:rsidR="003E0141" w:rsidRPr="0068392A" w:rsidRDefault="003E0141" w:rsidP="003E0141">
            <w:r w:rsidRPr="0068392A">
              <w:t>Vložka do zavinovačky</w:t>
            </w:r>
          </w:p>
        </w:tc>
        <w:tc>
          <w:tcPr>
            <w:tcW w:w="2409" w:type="dxa"/>
          </w:tcPr>
          <w:p w14:paraId="67BFAB2F" w14:textId="1CC7C7F8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3F170E7A" w14:textId="1E6EDBF1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72934771" w14:textId="78F57FE7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4B566AAC" w14:textId="77777777" w:rsidTr="0068392A">
        <w:tc>
          <w:tcPr>
            <w:tcW w:w="1384" w:type="dxa"/>
          </w:tcPr>
          <w:p w14:paraId="3DA56667" w14:textId="4D47180F" w:rsidR="003E0141" w:rsidRDefault="003E0141" w:rsidP="003E0141">
            <w:pPr>
              <w:jc w:val="center"/>
            </w:pPr>
            <w:r>
              <w:t>23</w:t>
            </w:r>
          </w:p>
        </w:tc>
        <w:tc>
          <w:tcPr>
            <w:tcW w:w="6521" w:type="dxa"/>
          </w:tcPr>
          <w:p w14:paraId="0D565264" w14:textId="55F3D371" w:rsidR="003E0141" w:rsidRPr="0068392A" w:rsidRDefault="003E0141" w:rsidP="003E0141">
            <w:r w:rsidRPr="0068392A">
              <w:t>Žínka</w:t>
            </w:r>
          </w:p>
        </w:tc>
        <w:tc>
          <w:tcPr>
            <w:tcW w:w="2409" w:type="dxa"/>
          </w:tcPr>
          <w:p w14:paraId="43A3790E" w14:textId="374F2473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7167E6CC" w14:textId="1DF870E3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3A0E22B6" w14:textId="7D38AE3C" w:rsidR="003E0141" w:rsidRDefault="003E0141" w:rsidP="003E0141">
            <w:pPr>
              <w:jc w:val="right"/>
            </w:pPr>
            <w:r>
              <w:t>xxx</w:t>
            </w:r>
          </w:p>
        </w:tc>
      </w:tr>
      <w:tr w:rsidR="003E0141" w14:paraId="7C852C30" w14:textId="77777777" w:rsidTr="0068392A">
        <w:tc>
          <w:tcPr>
            <w:tcW w:w="1384" w:type="dxa"/>
          </w:tcPr>
          <w:p w14:paraId="286BF239" w14:textId="1BFD2B78" w:rsidR="003E0141" w:rsidRDefault="003E0141" w:rsidP="003E0141">
            <w:pPr>
              <w:jc w:val="center"/>
            </w:pPr>
            <w:r>
              <w:t>24</w:t>
            </w:r>
          </w:p>
        </w:tc>
        <w:tc>
          <w:tcPr>
            <w:tcW w:w="6521" w:type="dxa"/>
          </w:tcPr>
          <w:p w14:paraId="503845DB" w14:textId="78DAFDB4" w:rsidR="003E0141" w:rsidRPr="0068392A" w:rsidRDefault="003E0141" w:rsidP="003E0141">
            <w:r w:rsidRPr="0068392A">
              <w:t>Bryndák</w:t>
            </w:r>
          </w:p>
        </w:tc>
        <w:tc>
          <w:tcPr>
            <w:tcW w:w="2409" w:type="dxa"/>
          </w:tcPr>
          <w:p w14:paraId="19DCB189" w14:textId="723621D2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1701" w:type="dxa"/>
          </w:tcPr>
          <w:p w14:paraId="4293997B" w14:textId="5F0F811D" w:rsidR="003E0141" w:rsidRDefault="003E0141" w:rsidP="003E0141">
            <w:pPr>
              <w:jc w:val="right"/>
            </w:pPr>
            <w:r>
              <w:t>xxx</w:t>
            </w:r>
          </w:p>
        </w:tc>
        <w:tc>
          <w:tcPr>
            <w:tcW w:w="2129" w:type="dxa"/>
          </w:tcPr>
          <w:p w14:paraId="3373CCD1" w14:textId="0281349A" w:rsidR="003E0141" w:rsidRDefault="003E0141" w:rsidP="003E0141">
            <w:pPr>
              <w:jc w:val="right"/>
            </w:pPr>
            <w:r>
              <w:t>xxx</w:t>
            </w:r>
          </w:p>
        </w:tc>
      </w:tr>
    </w:tbl>
    <w:p w14:paraId="6785217E" w14:textId="77777777" w:rsidR="00AA34DF" w:rsidRDefault="00AA34DF" w:rsidP="00023008"/>
    <w:sectPr w:rsidR="00AA34DF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52181" w14:textId="77777777" w:rsidR="003E07C3" w:rsidRDefault="003E07C3" w:rsidP="006337DC">
      <w:r>
        <w:separator/>
      </w:r>
    </w:p>
  </w:endnote>
  <w:endnote w:type="continuationSeparator" w:id="0">
    <w:p w14:paraId="67852182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3E0141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0141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5217F" w14:textId="77777777" w:rsidR="003E07C3" w:rsidRDefault="003E07C3" w:rsidP="006337DC">
      <w:r>
        <w:separator/>
      </w:r>
    </w:p>
  </w:footnote>
  <w:footnote w:type="continuationSeparator" w:id="0">
    <w:p w14:paraId="67852180" w14:textId="77777777" w:rsidR="003E07C3" w:rsidRDefault="003E07C3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D5616" w14:textId="463FD1BC" w:rsidR="00485AAD" w:rsidRDefault="00485AAD">
    <w:pPr>
      <w:pStyle w:val="Zhlav"/>
    </w:pPr>
    <w:r>
      <w:t xml:space="preserve">   </w:t>
    </w:r>
    <w:r>
      <w:tab/>
    </w:r>
    <w:r>
      <w:tab/>
      <w:t>KP/2214/2024</w:t>
    </w:r>
    <w:r w:rsidR="002B2109">
      <w:t>/Sr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7A2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4DD9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4960"/>
    <w:rsid w:val="000F5076"/>
    <w:rsid w:val="000F5D02"/>
    <w:rsid w:val="000F6286"/>
    <w:rsid w:val="00105B0E"/>
    <w:rsid w:val="0010754F"/>
    <w:rsid w:val="001078BB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540D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253A"/>
    <w:rsid w:val="002959B0"/>
    <w:rsid w:val="00297F3A"/>
    <w:rsid w:val="002A5831"/>
    <w:rsid w:val="002B1098"/>
    <w:rsid w:val="002B20A8"/>
    <w:rsid w:val="002B2109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141"/>
    <w:rsid w:val="003E07C3"/>
    <w:rsid w:val="003E1703"/>
    <w:rsid w:val="003E1948"/>
    <w:rsid w:val="003E311E"/>
    <w:rsid w:val="003E3823"/>
    <w:rsid w:val="003E39A0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85AAD"/>
    <w:rsid w:val="004924D3"/>
    <w:rsid w:val="00492818"/>
    <w:rsid w:val="00494744"/>
    <w:rsid w:val="004953EF"/>
    <w:rsid w:val="004A45B0"/>
    <w:rsid w:val="004A7901"/>
    <w:rsid w:val="004B1019"/>
    <w:rsid w:val="004C2C98"/>
    <w:rsid w:val="004C414C"/>
    <w:rsid w:val="004C679C"/>
    <w:rsid w:val="004D4C0D"/>
    <w:rsid w:val="004D7A85"/>
    <w:rsid w:val="004E2A52"/>
    <w:rsid w:val="004E7425"/>
    <w:rsid w:val="004F0288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190B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D631D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392A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3DEA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0E35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28F9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10606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3D28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542D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6B6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52A9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B7464"/>
    <w:rsid w:val="00BC1018"/>
    <w:rsid w:val="00BC1147"/>
    <w:rsid w:val="00BC383D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4713"/>
    <w:rsid w:val="00BF5954"/>
    <w:rsid w:val="00C0348B"/>
    <w:rsid w:val="00C07977"/>
    <w:rsid w:val="00C10B58"/>
    <w:rsid w:val="00C143C2"/>
    <w:rsid w:val="00C14A69"/>
    <w:rsid w:val="00C14FCD"/>
    <w:rsid w:val="00C16B8E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030E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C735B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1A70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f8073be8-ba4e-4991-92ef-8ca69007da56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c852e05-94eb-48de-a089-3a35c1dd621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0B6E0D-E267-4F75-9CA8-74A6D45D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2961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34</cp:revision>
  <cp:lastPrinted>2018-11-27T10:11:00Z</cp:lastPrinted>
  <dcterms:created xsi:type="dcterms:W3CDTF">2019-11-21T09:23:00Z</dcterms:created>
  <dcterms:modified xsi:type="dcterms:W3CDTF">2024-07-16T08:27:00Z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