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vertAnchor="text" w:horzAnchor="page" w:tblpX="112" w:tblpY="356"/>
        <w:tblOverlap w:val="never"/>
        <w:tblW w:w="865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5353"/>
      </w:tblGrid>
      <w:tr w:rsidR="00A77B5D" w14:paraId="67CD7618" w14:textId="77777777" w:rsidTr="00A77B5D">
        <w:trPr>
          <w:trHeight w:val="1062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</w:tcPr>
          <w:p w14:paraId="574303FB" w14:textId="77777777" w:rsidR="00A77B5D" w:rsidRDefault="00A77B5D" w:rsidP="00A77B5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14"/>
              </w:rPr>
              <w:t>UNIqA</w:t>
            </w:r>
            <w:proofErr w:type="spellEnd"/>
            <w:r>
              <w:rPr>
                <w:sz w:val="14"/>
              </w:rPr>
              <w:t xml:space="preserve"> pojišťovna, a.s. </w:t>
            </w:r>
          </w:p>
          <w:p w14:paraId="40FCA4F3" w14:textId="77777777" w:rsidR="00A77B5D" w:rsidRDefault="00A77B5D" w:rsidP="00A77B5D">
            <w:pPr>
              <w:spacing w:after="40" w:line="236" w:lineRule="auto"/>
              <w:ind w:left="0" w:right="647" w:firstLine="0"/>
              <w:jc w:val="left"/>
            </w:pPr>
            <w:r>
              <w:rPr>
                <w:sz w:val="10"/>
              </w:rPr>
              <w:t xml:space="preserve">Zapsána u Městského soudu v Praze, oddíl B, č. vložky 2012.  </w:t>
            </w:r>
          </w:p>
          <w:p w14:paraId="3750E647" w14:textId="77777777" w:rsidR="00A77B5D" w:rsidRDefault="00A77B5D" w:rsidP="00A77B5D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>Evropská 136, 160 12 Praha 6</w:t>
            </w:r>
          </w:p>
          <w:p w14:paraId="359F1021" w14:textId="77777777" w:rsidR="00A77B5D" w:rsidRDefault="00A77B5D" w:rsidP="00A77B5D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>IČ: 49240480</w:t>
            </w:r>
          </w:p>
          <w:p w14:paraId="323A8FC4" w14:textId="77777777" w:rsidR="00A77B5D" w:rsidRDefault="00A77B5D" w:rsidP="00A77B5D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>Tel.: +420 800 120 020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0BAA1A83" w14:textId="77777777" w:rsidR="00A77B5D" w:rsidRDefault="00A77B5D" w:rsidP="00A77B5D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i w:val="0"/>
                <w:sz w:val="36"/>
              </w:rPr>
              <w:t xml:space="preserve">Doplňkové pojistné podmínky </w:t>
            </w:r>
          </w:p>
          <w:p w14:paraId="17C7D1EF" w14:textId="77777777" w:rsidR="00A77B5D" w:rsidRDefault="00A77B5D" w:rsidP="00A77B5D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pro </w:t>
            </w:r>
            <w:proofErr w:type="spellStart"/>
            <w:r>
              <w:rPr>
                <w:sz w:val="20"/>
              </w:rPr>
              <w:t>všerizikové</w:t>
            </w:r>
            <w:proofErr w:type="spellEnd"/>
            <w:r>
              <w:rPr>
                <w:sz w:val="20"/>
              </w:rPr>
              <w:t xml:space="preserve"> pojištění (ALLRISK) </w:t>
            </w:r>
            <w:proofErr w:type="gramStart"/>
            <w:r>
              <w:rPr>
                <w:sz w:val="20"/>
              </w:rPr>
              <w:t>majetku - zvláštní</w:t>
            </w:r>
            <w:proofErr w:type="gramEnd"/>
            <w:r>
              <w:rPr>
                <w:sz w:val="20"/>
              </w:rPr>
              <w:t xml:space="preserve"> část –</w:t>
            </w:r>
          </w:p>
        </w:tc>
      </w:tr>
    </w:tbl>
    <w:p w14:paraId="72165EAF" w14:textId="2E160715" w:rsidR="00442A3B" w:rsidRDefault="00442A3B">
      <w:pPr>
        <w:spacing w:after="754" w:line="259" w:lineRule="auto"/>
        <w:ind w:left="-28" w:firstLine="0"/>
        <w:jc w:val="left"/>
      </w:pPr>
    </w:p>
    <w:p w14:paraId="487FBC6D" w14:textId="77777777" w:rsidR="00A77B5D" w:rsidRDefault="00A77B5D">
      <w:pPr>
        <w:spacing w:after="189" w:line="259" w:lineRule="auto"/>
        <w:ind w:left="-5"/>
        <w:jc w:val="left"/>
        <w:rPr>
          <w:b/>
          <w:color w:val="215A98"/>
        </w:rPr>
      </w:pPr>
    </w:p>
    <w:p w14:paraId="4A4F0C43" w14:textId="77777777" w:rsidR="00A77B5D" w:rsidRDefault="00A77B5D">
      <w:pPr>
        <w:spacing w:after="189" w:line="259" w:lineRule="auto"/>
        <w:ind w:left="-5"/>
        <w:jc w:val="left"/>
        <w:rPr>
          <w:b/>
          <w:color w:val="215A98"/>
        </w:rPr>
      </w:pPr>
    </w:p>
    <w:p w14:paraId="7F1DA268" w14:textId="77777777" w:rsidR="00A77B5D" w:rsidRDefault="00A77B5D">
      <w:pPr>
        <w:spacing w:after="189" w:line="259" w:lineRule="auto"/>
        <w:ind w:left="-5"/>
        <w:jc w:val="left"/>
        <w:rPr>
          <w:b/>
          <w:color w:val="215A98"/>
        </w:rPr>
      </w:pPr>
    </w:p>
    <w:p w14:paraId="3F7149A4" w14:textId="77777777" w:rsidR="00A77B5D" w:rsidRDefault="00A77B5D">
      <w:pPr>
        <w:spacing w:after="189" w:line="259" w:lineRule="auto"/>
        <w:ind w:left="-5"/>
        <w:jc w:val="left"/>
        <w:rPr>
          <w:b/>
          <w:color w:val="215A98"/>
        </w:rPr>
      </w:pPr>
    </w:p>
    <w:p w14:paraId="70B4D94A" w14:textId="77777777" w:rsidR="00A77B5D" w:rsidRDefault="00A77B5D">
      <w:pPr>
        <w:spacing w:after="189" w:line="259" w:lineRule="auto"/>
        <w:ind w:left="-5"/>
        <w:jc w:val="left"/>
        <w:rPr>
          <w:b/>
          <w:color w:val="215A98"/>
        </w:rPr>
      </w:pPr>
    </w:p>
    <w:p w14:paraId="6D62B146" w14:textId="77777777" w:rsidR="00A77B5D" w:rsidRDefault="00A77B5D">
      <w:pPr>
        <w:spacing w:after="189" w:line="259" w:lineRule="auto"/>
        <w:ind w:left="-5"/>
        <w:jc w:val="left"/>
        <w:rPr>
          <w:b/>
          <w:color w:val="215A98"/>
        </w:rPr>
      </w:pPr>
    </w:p>
    <w:p w14:paraId="3BCA6D05" w14:textId="77777777" w:rsidR="00A77B5D" w:rsidRDefault="00A77B5D">
      <w:pPr>
        <w:spacing w:after="189" w:line="259" w:lineRule="auto"/>
        <w:ind w:left="-5"/>
        <w:jc w:val="left"/>
        <w:rPr>
          <w:b/>
          <w:color w:val="215A98"/>
        </w:rPr>
      </w:pPr>
    </w:p>
    <w:p w14:paraId="277AD3A4" w14:textId="77777777" w:rsidR="00A77B5D" w:rsidRDefault="00A77B5D">
      <w:pPr>
        <w:spacing w:after="189" w:line="259" w:lineRule="auto"/>
        <w:ind w:left="-5"/>
        <w:jc w:val="left"/>
        <w:rPr>
          <w:b/>
          <w:color w:val="215A98"/>
        </w:rPr>
      </w:pPr>
    </w:p>
    <w:p w14:paraId="5F3B646C" w14:textId="5FC519C7" w:rsidR="00442A3B" w:rsidRDefault="00A77B5D">
      <w:pPr>
        <w:spacing w:after="189" w:line="259" w:lineRule="auto"/>
        <w:ind w:left="-5"/>
        <w:jc w:val="left"/>
      </w:pPr>
      <w:r>
        <w:rPr>
          <w:b/>
          <w:color w:val="215A98"/>
        </w:rPr>
        <w:t>Obsah:</w:t>
      </w:r>
    </w:p>
    <w:p w14:paraId="04885F07" w14:textId="77777777" w:rsidR="00442A3B" w:rsidRDefault="00A77B5D">
      <w:pPr>
        <w:spacing w:after="0" w:line="265" w:lineRule="auto"/>
        <w:ind w:left="-5"/>
        <w:jc w:val="left"/>
      </w:pPr>
      <w:r>
        <w:t xml:space="preserve">Škody způsobené </w:t>
      </w:r>
      <w:proofErr w:type="gramStart"/>
      <w:r>
        <w:t>výbuchem - článek</w:t>
      </w:r>
      <w:proofErr w:type="gramEnd"/>
      <w:r>
        <w:t xml:space="preserve"> 1</w:t>
      </w:r>
    </w:p>
    <w:p w14:paraId="7EB23035" w14:textId="77777777" w:rsidR="00442A3B" w:rsidRDefault="00A77B5D">
      <w:pPr>
        <w:ind w:left="-4"/>
      </w:pPr>
      <w:r>
        <w:t xml:space="preserve">Doplnění k jednotlivým položkám pojištěných </w:t>
      </w:r>
      <w:proofErr w:type="gramStart"/>
      <w:r>
        <w:t>předmětů - článek</w:t>
      </w:r>
      <w:proofErr w:type="gramEnd"/>
      <w:r>
        <w:t xml:space="preserve"> 2</w:t>
      </w:r>
    </w:p>
    <w:p w14:paraId="14F068F4" w14:textId="77777777" w:rsidR="00442A3B" w:rsidRDefault="00A77B5D">
      <w:pPr>
        <w:ind w:left="-4"/>
      </w:pPr>
      <w:r>
        <w:t xml:space="preserve">Doložka o </w:t>
      </w:r>
      <w:proofErr w:type="gramStart"/>
      <w:r>
        <w:t>uznání - článek</w:t>
      </w:r>
      <w:proofErr w:type="gramEnd"/>
      <w:r>
        <w:t xml:space="preserve"> 3</w:t>
      </w:r>
    </w:p>
    <w:p w14:paraId="65F70A51" w14:textId="77777777" w:rsidR="00442A3B" w:rsidRDefault="00A77B5D">
      <w:pPr>
        <w:ind w:left="-4"/>
      </w:pPr>
      <w:r>
        <w:t xml:space="preserve">Zvýšení rizika, oznámení zvýšení </w:t>
      </w:r>
      <w:proofErr w:type="gramStart"/>
      <w:r>
        <w:t>rizika - článek</w:t>
      </w:r>
      <w:proofErr w:type="gramEnd"/>
      <w:r>
        <w:t xml:space="preserve"> 4</w:t>
      </w:r>
    </w:p>
    <w:p w14:paraId="5153AFAC" w14:textId="77777777" w:rsidR="00442A3B" w:rsidRDefault="00A77B5D">
      <w:pPr>
        <w:ind w:left="-4"/>
      </w:pPr>
      <w:r>
        <w:t xml:space="preserve">Přechodné odchýlení od bezpečnostních </w:t>
      </w:r>
      <w:proofErr w:type="gramStart"/>
      <w:r>
        <w:t>předpisů - článek</w:t>
      </w:r>
      <w:proofErr w:type="gramEnd"/>
      <w:r>
        <w:t xml:space="preserve"> 5</w:t>
      </w:r>
    </w:p>
    <w:p w14:paraId="1287490E" w14:textId="77777777" w:rsidR="00442A3B" w:rsidRDefault="00A77B5D">
      <w:pPr>
        <w:ind w:left="-4"/>
      </w:pPr>
      <w:r>
        <w:t xml:space="preserve">Odpovědnost při pracích prováděných cizími </w:t>
      </w:r>
      <w:proofErr w:type="gramStart"/>
      <w:r>
        <w:t>subjekty - článek</w:t>
      </w:r>
      <w:proofErr w:type="gramEnd"/>
      <w:r>
        <w:t xml:space="preserve"> 6</w:t>
      </w:r>
    </w:p>
    <w:p w14:paraId="6B0A6351" w14:textId="77777777" w:rsidR="00442A3B" w:rsidRDefault="00A77B5D">
      <w:pPr>
        <w:ind w:left="-4"/>
      </w:pPr>
      <w:r>
        <w:t xml:space="preserve">Soudní </w:t>
      </w:r>
      <w:proofErr w:type="gramStart"/>
      <w:r>
        <w:t>znalci - článek</w:t>
      </w:r>
      <w:proofErr w:type="gramEnd"/>
      <w:r>
        <w:t xml:space="preserve"> 7</w:t>
      </w:r>
    </w:p>
    <w:p w14:paraId="08911456" w14:textId="77777777" w:rsidR="00442A3B" w:rsidRDefault="00A77B5D">
      <w:pPr>
        <w:ind w:left="-4"/>
      </w:pPr>
      <w:r>
        <w:t xml:space="preserve">Vyrovnání </w:t>
      </w:r>
      <w:proofErr w:type="gramStart"/>
      <w:r>
        <w:t>částek - článek</w:t>
      </w:r>
      <w:proofErr w:type="gramEnd"/>
      <w:r>
        <w:t xml:space="preserve"> 8</w:t>
      </w:r>
    </w:p>
    <w:p w14:paraId="40C5EF19" w14:textId="77777777" w:rsidR="00442A3B" w:rsidRDefault="00A77B5D">
      <w:pPr>
        <w:spacing w:after="385" w:line="265" w:lineRule="auto"/>
        <w:ind w:left="-5"/>
        <w:jc w:val="left"/>
      </w:pPr>
      <w:proofErr w:type="gramStart"/>
      <w:r>
        <w:t>Účinnost - článek</w:t>
      </w:r>
      <w:proofErr w:type="gramEnd"/>
      <w:r>
        <w:t xml:space="preserve"> 9</w:t>
      </w:r>
    </w:p>
    <w:p w14:paraId="04727358" w14:textId="77777777" w:rsidR="00442A3B" w:rsidRDefault="00A77B5D">
      <w:pPr>
        <w:pStyle w:val="Nadpis1"/>
        <w:spacing w:after="189"/>
        <w:ind w:left="-5"/>
      </w:pPr>
      <w:r>
        <w:t>Článek 1 Škody způsobené výbuchem</w:t>
      </w:r>
    </w:p>
    <w:p w14:paraId="35BFA19B" w14:textId="77777777" w:rsidR="00442A3B" w:rsidRDefault="00A77B5D">
      <w:pPr>
        <w:ind w:left="-4"/>
      </w:pPr>
      <w:r>
        <w:t xml:space="preserve">Odchylně od znění Všeobecných pojistných podmínek pro </w:t>
      </w:r>
      <w:proofErr w:type="spellStart"/>
      <w:r>
        <w:t>všerizikové</w:t>
      </w:r>
      <w:proofErr w:type="spellEnd"/>
      <w:r>
        <w:t xml:space="preserve"> pojištění (ALLRISK) – zvláštní část – UCZ/AR/14/A poskytne pojistitel pojistné plnění za škody na pojištěných věcech způsobených výbuchem. </w:t>
      </w:r>
    </w:p>
    <w:p w14:paraId="13A77859" w14:textId="77777777" w:rsidR="00442A3B" w:rsidRDefault="00A77B5D">
      <w:pPr>
        <w:spacing w:after="0" w:line="259" w:lineRule="auto"/>
        <w:ind w:left="0" w:firstLine="0"/>
        <w:jc w:val="left"/>
      </w:pPr>
      <w:r>
        <w:t xml:space="preserve"> </w:t>
      </w:r>
    </w:p>
    <w:p w14:paraId="1AC0BB49" w14:textId="77777777" w:rsidR="00442A3B" w:rsidRDefault="00A77B5D">
      <w:pPr>
        <w:spacing w:after="194"/>
        <w:ind w:left="-4"/>
      </w:pPr>
      <w:r>
        <w:t>Z</w:t>
      </w:r>
      <w:r>
        <w:t>a výbuch se považuje náhlý projev roztažnosti plynů nebo par navenek. Výbuchem tlakové nádoby trvale naplněné stlačenou párou nebo plynem se rozumí narušení její stěny v takovém rozsahu, že dojde k náhlému vyrovnání tlaku uvnitř a vně nádoby.</w:t>
      </w:r>
    </w:p>
    <w:p w14:paraId="6EDDA7E6" w14:textId="77777777" w:rsidR="00442A3B" w:rsidRDefault="00A77B5D">
      <w:pPr>
        <w:spacing w:after="394"/>
        <w:ind w:left="-4"/>
      </w:pPr>
      <w:r>
        <w:t>Dojde-li uvnitř nádoby k výbuchu vyvolanému chemickou reakcí poskytne pojistitel pojistné plnění za vzniklou škodu také v případě, kdy nedojde</w:t>
      </w:r>
      <w:r>
        <w:t xml:space="preserve"> </w:t>
      </w:r>
      <w:r>
        <w:t>k roztržení stěny nádoby.</w:t>
      </w:r>
    </w:p>
    <w:p w14:paraId="487F0E3A" w14:textId="77777777" w:rsidR="00442A3B" w:rsidRDefault="00A77B5D">
      <w:pPr>
        <w:pStyle w:val="Nadpis1"/>
        <w:spacing w:after="189"/>
        <w:ind w:left="-5"/>
      </w:pPr>
      <w:r>
        <w:t xml:space="preserve">Článek 2 </w:t>
      </w:r>
      <w:r>
        <w:t>Doplnění k jednotlivým položkám pojištěných předmětů</w:t>
      </w:r>
    </w:p>
    <w:p w14:paraId="4D51A1A8" w14:textId="77777777" w:rsidR="00442A3B" w:rsidRDefault="00A77B5D">
      <w:pPr>
        <w:ind w:left="-4"/>
      </w:pPr>
      <w:r>
        <w:t>Pokud pojistník prohlásí, že zohlednil určitý druh věci ve skupině položek, do níž dle deklarace nespadají, poskytne pojistitel na žádost pojistníka pojistné plnění v rámci položek té skupiny, ve které byla jejich hodnota zohledněna.</w:t>
      </w:r>
    </w:p>
    <w:p w14:paraId="4FB39B06" w14:textId="77777777" w:rsidR="00442A3B" w:rsidRDefault="00A77B5D">
      <w:pPr>
        <w:ind w:left="-4"/>
      </w:pPr>
      <w:r>
        <w:t xml:space="preserve">Pro tyto pojištěné věci je však limitem plnění hodnota sjednaná pro skupinu, do které podle deklarace pojištěných položek </w:t>
      </w:r>
      <w:proofErr w:type="gramStart"/>
      <w:r>
        <w:t>patří</w:t>
      </w:r>
      <w:proofErr w:type="gramEnd"/>
      <w:r>
        <w:t>.</w:t>
      </w:r>
    </w:p>
    <w:p w14:paraId="384F0BB9" w14:textId="77777777" w:rsidR="00442A3B" w:rsidRDefault="00A77B5D">
      <w:pPr>
        <w:spacing w:after="189" w:line="259" w:lineRule="auto"/>
        <w:ind w:left="0" w:firstLine="0"/>
        <w:jc w:val="left"/>
      </w:pPr>
      <w:r>
        <w:t xml:space="preserve">   </w:t>
      </w:r>
    </w:p>
    <w:p w14:paraId="4B818A2E" w14:textId="77777777" w:rsidR="00442A3B" w:rsidRDefault="00A77B5D">
      <w:pPr>
        <w:pStyle w:val="Nadpis1"/>
        <w:ind w:left="-5"/>
      </w:pPr>
      <w:r>
        <w:t xml:space="preserve">Článek 3 </w:t>
      </w:r>
      <w:r>
        <w:t>Doložka o uznání</w:t>
      </w:r>
    </w:p>
    <w:p w14:paraId="439ED59C" w14:textId="77777777" w:rsidR="00442A3B" w:rsidRDefault="00A77B5D">
      <w:pPr>
        <w:spacing w:after="0" w:line="259" w:lineRule="auto"/>
        <w:ind w:left="0" w:firstLine="0"/>
        <w:jc w:val="left"/>
      </w:pPr>
      <w:r>
        <w:t xml:space="preserve"> </w:t>
      </w:r>
    </w:p>
    <w:p w14:paraId="3F75A5C7" w14:textId="77777777" w:rsidR="00442A3B" w:rsidRDefault="00A77B5D">
      <w:pPr>
        <w:ind w:left="-4"/>
      </w:pPr>
      <w:r>
        <w:t>Pojistitel uznává, že byl při uzavírání pojistné smlouvy informován o všech okolnostech, které jsou podstatné pro posouzení rizika, s výjimkou okolností, které byly úmyslně zamlčeny.</w:t>
      </w:r>
    </w:p>
    <w:p w14:paraId="1F65908C" w14:textId="77777777" w:rsidR="00442A3B" w:rsidRDefault="00A77B5D">
      <w:pPr>
        <w:spacing w:after="394"/>
        <w:ind w:left="-4"/>
      </w:pPr>
      <w:r>
        <w:t>Povinnost pojistníka oznámit zvýšení rizika nastalé v době trvání soukromého pojištění podle zákona č. 89/2012 Sb., občanský zákoník, zůstává tímto ujednáním nedotčena.</w:t>
      </w:r>
    </w:p>
    <w:p w14:paraId="166708C1" w14:textId="77777777" w:rsidR="00442A3B" w:rsidRDefault="00A77B5D">
      <w:pPr>
        <w:pStyle w:val="Nadpis1"/>
        <w:ind w:left="-5"/>
      </w:pPr>
      <w:r>
        <w:t xml:space="preserve">Článek 4 </w:t>
      </w:r>
      <w:r>
        <w:t>Zvýšení rizika, oznámení zvýšení rizika</w:t>
      </w:r>
    </w:p>
    <w:p w14:paraId="09C788F1" w14:textId="77777777" w:rsidR="00442A3B" w:rsidRDefault="00A77B5D">
      <w:pPr>
        <w:spacing w:after="0" w:line="259" w:lineRule="auto"/>
        <w:ind w:left="0" w:firstLine="0"/>
        <w:jc w:val="left"/>
      </w:pPr>
      <w:r>
        <w:t xml:space="preserve">   </w:t>
      </w:r>
    </w:p>
    <w:p w14:paraId="1DD5D456" w14:textId="77777777" w:rsidR="00A77B5D" w:rsidRDefault="00A77B5D">
      <w:pPr>
        <w:spacing w:after="0" w:line="259" w:lineRule="auto"/>
        <w:ind w:left="0" w:firstLine="0"/>
        <w:jc w:val="left"/>
      </w:pPr>
    </w:p>
    <w:p w14:paraId="37F9A12D" w14:textId="77777777" w:rsidR="00A77B5D" w:rsidRDefault="00A77B5D">
      <w:pPr>
        <w:spacing w:after="0" w:line="259" w:lineRule="auto"/>
        <w:ind w:left="0" w:firstLine="0"/>
        <w:jc w:val="left"/>
      </w:pPr>
    </w:p>
    <w:p w14:paraId="3922B2A7" w14:textId="77777777" w:rsidR="00A77B5D" w:rsidRDefault="00A77B5D">
      <w:pPr>
        <w:spacing w:after="0" w:line="259" w:lineRule="auto"/>
        <w:ind w:left="0" w:firstLine="0"/>
        <w:jc w:val="left"/>
      </w:pPr>
    </w:p>
    <w:p w14:paraId="5BD950C8" w14:textId="77777777" w:rsidR="00A77B5D" w:rsidRDefault="00A77B5D">
      <w:pPr>
        <w:spacing w:after="0" w:line="259" w:lineRule="auto"/>
        <w:ind w:left="0" w:firstLine="0"/>
        <w:jc w:val="left"/>
      </w:pPr>
    </w:p>
    <w:p w14:paraId="134D8205" w14:textId="77777777" w:rsidR="00A77B5D" w:rsidRDefault="00A77B5D">
      <w:pPr>
        <w:spacing w:after="0" w:line="259" w:lineRule="auto"/>
        <w:ind w:left="0" w:firstLine="0"/>
        <w:jc w:val="left"/>
      </w:pPr>
    </w:p>
    <w:p w14:paraId="4F742A4D" w14:textId="77777777" w:rsidR="00A77B5D" w:rsidRDefault="00A77B5D">
      <w:pPr>
        <w:spacing w:after="0" w:line="259" w:lineRule="auto"/>
        <w:ind w:left="0" w:firstLine="0"/>
        <w:jc w:val="left"/>
      </w:pPr>
    </w:p>
    <w:p w14:paraId="0F2CF480" w14:textId="77777777" w:rsidR="00A77B5D" w:rsidRDefault="00A77B5D">
      <w:pPr>
        <w:spacing w:after="0" w:line="259" w:lineRule="auto"/>
        <w:ind w:left="0" w:firstLine="0"/>
        <w:jc w:val="left"/>
      </w:pPr>
    </w:p>
    <w:p w14:paraId="5B205103" w14:textId="77777777" w:rsidR="00A77B5D" w:rsidRDefault="00A77B5D">
      <w:pPr>
        <w:spacing w:after="0" w:line="259" w:lineRule="auto"/>
        <w:ind w:left="0" w:firstLine="0"/>
        <w:jc w:val="left"/>
      </w:pPr>
    </w:p>
    <w:p w14:paraId="419338F3" w14:textId="77777777" w:rsidR="00A77B5D" w:rsidRDefault="00A77B5D">
      <w:pPr>
        <w:spacing w:after="0" w:line="259" w:lineRule="auto"/>
        <w:ind w:left="0" w:firstLine="0"/>
        <w:jc w:val="left"/>
      </w:pPr>
    </w:p>
    <w:p w14:paraId="406B7A2B" w14:textId="77777777" w:rsidR="00A77B5D" w:rsidRDefault="00A77B5D">
      <w:pPr>
        <w:spacing w:after="0" w:line="259" w:lineRule="auto"/>
        <w:ind w:left="0" w:firstLine="0"/>
        <w:jc w:val="left"/>
      </w:pPr>
    </w:p>
    <w:p w14:paraId="430ABA47" w14:textId="77777777" w:rsidR="00A77B5D" w:rsidRDefault="00A77B5D">
      <w:pPr>
        <w:spacing w:after="0" w:line="259" w:lineRule="auto"/>
        <w:ind w:left="0" w:firstLine="0"/>
        <w:jc w:val="left"/>
      </w:pPr>
    </w:p>
    <w:p w14:paraId="46DD3B33" w14:textId="77777777" w:rsidR="00442A3B" w:rsidRDefault="00A77B5D">
      <w:pPr>
        <w:numPr>
          <w:ilvl w:val="0"/>
          <w:numId w:val="1"/>
        </w:numPr>
        <w:ind w:hanging="284"/>
      </w:pPr>
      <w:r>
        <w:t xml:space="preserve">Pojistník </w:t>
      </w:r>
      <w:proofErr w:type="gramStart"/>
      <w:r>
        <w:t>pověří</w:t>
      </w:r>
      <w:proofErr w:type="gramEnd"/>
      <w:r>
        <w:t xml:space="preserve"> zaměstnance provádějící dozor průběžným </w:t>
      </w:r>
      <w:proofErr w:type="spellStart"/>
      <w:r>
        <w:t>prověřo</w:t>
      </w:r>
      <w:proofErr w:type="spellEnd"/>
      <w:r>
        <w:t>-</w:t>
      </w:r>
    </w:p>
    <w:p w14:paraId="3034EF77" w14:textId="77777777" w:rsidR="00442A3B" w:rsidRDefault="00A77B5D">
      <w:pPr>
        <w:ind w:left="294"/>
      </w:pPr>
      <w:r>
        <w:t xml:space="preserve">váním rizikových okolností v místě pojištění a </w:t>
      </w:r>
      <w:proofErr w:type="gramStart"/>
      <w:r>
        <w:t>uloží</w:t>
      </w:r>
      <w:proofErr w:type="gramEnd"/>
      <w:r>
        <w:t xml:space="preserve"> jim neprodleně </w:t>
      </w:r>
      <w:r>
        <w:t>oznámit skutečnosti</w:t>
      </w:r>
    </w:p>
    <w:p w14:paraId="79D37D32" w14:textId="77777777" w:rsidR="00442A3B" w:rsidRDefault="00A77B5D">
      <w:pPr>
        <w:spacing w:after="194"/>
        <w:ind w:left="270" w:hanging="284"/>
      </w:pPr>
      <w:r>
        <w:t xml:space="preserve"> zvyšující riziko. Tato povinnost se vztahuje rovněž na případnou změnu provozní činnosti, resp. používání nových provozních postupů. Aby bylo možno předejít neohlášení zvýšení rizika v důsledku přehlédnutí, event. nastalé zvýšení dodatečně </w:t>
      </w:r>
      <w:proofErr w:type="gramStart"/>
      <w:r>
        <w:t>zjistit,  je</w:t>
      </w:r>
      <w:proofErr w:type="gramEnd"/>
      <w:r>
        <w:t xml:space="preserve"> pojistník povinen stav rizika jedenkrát ročně prověřit.</w:t>
      </w:r>
    </w:p>
    <w:p w14:paraId="4176E69E" w14:textId="77777777" w:rsidR="00442A3B" w:rsidRDefault="00A77B5D">
      <w:pPr>
        <w:ind w:left="270" w:hanging="284"/>
      </w:pPr>
      <w:r>
        <w:t xml:space="preserve"> V</w:t>
      </w:r>
      <w:r>
        <w:t xml:space="preserve"> případě, kdy </w:t>
      </w:r>
      <w:proofErr w:type="gramStart"/>
      <w:r>
        <w:t>pojistník  disponuje</w:t>
      </w:r>
      <w:proofErr w:type="gramEnd"/>
      <w:r>
        <w:t xml:space="preserve"> vlastním pojistně-technickým oddělením, které nabízí pravidelné ověření skutečností významných pro pojistnou smlouvu, je povinen zabezpečit předání potřebného hlášení o zvýšení rizika pojistně-technickému oddělení a neprodleně dále pojistiteli.</w:t>
      </w:r>
    </w:p>
    <w:tbl>
      <w:tblPr>
        <w:tblStyle w:val="TableGrid"/>
        <w:tblpPr w:vertAnchor="page" w:horzAnchor="page" w:tblpX="8843"/>
        <w:tblOverlap w:val="never"/>
        <w:tblW w:w="2846" w:type="dxa"/>
        <w:tblInd w:w="0" w:type="dxa"/>
        <w:tblCellMar>
          <w:top w:w="0" w:type="dxa"/>
          <w:left w:w="2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46"/>
      </w:tblGrid>
      <w:tr w:rsidR="00442A3B" w14:paraId="2B6558A5" w14:textId="77777777" w:rsidTr="00A77B5D">
        <w:trPr>
          <w:trHeight w:val="1831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8F9AC5"/>
            <w:vAlign w:val="center"/>
          </w:tcPr>
          <w:p w14:paraId="097A1431" w14:textId="77777777" w:rsidR="00442A3B" w:rsidRDefault="00A77B5D" w:rsidP="00A77B5D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color w:val="FFFEFD"/>
                <w:sz w:val="44"/>
              </w:rPr>
              <w:t>DPP/AR/14/B</w:t>
            </w:r>
          </w:p>
        </w:tc>
      </w:tr>
    </w:tbl>
    <w:p w14:paraId="344809C5" w14:textId="77777777" w:rsidR="00442A3B" w:rsidRDefault="00A77B5D">
      <w:pPr>
        <w:numPr>
          <w:ilvl w:val="0"/>
          <w:numId w:val="1"/>
        </w:numPr>
        <w:spacing w:after="394"/>
        <w:ind w:hanging="284"/>
      </w:pPr>
      <w:r>
        <w:rPr>
          <w:i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79CF3C7" wp14:editId="3B410437">
                <wp:simplePos x="0" y="0"/>
                <wp:positionH relativeFrom="page">
                  <wp:posOffset>181533</wp:posOffset>
                </wp:positionH>
                <wp:positionV relativeFrom="page">
                  <wp:posOffset>9831063</wp:posOffset>
                </wp:positionV>
                <wp:extent cx="94717" cy="488238"/>
                <wp:effectExtent l="0" t="0" r="0" b="0"/>
                <wp:wrapSquare wrapText="bothSides"/>
                <wp:docPr id="2125" name="Group 2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17" cy="488238"/>
                          <a:chOff x="0" y="0"/>
                          <a:chExt cx="94717" cy="488238"/>
                        </a:xfrm>
                      </wpg:grpSpPr>
                      <wps:wsp>
                        <wps:cNvPr id="183" name="Rectangle 183"/>
                        <wps:cNvSpPr/>
                        <wps:spPr>
                          <a:xfrm rot="-5399999">
                            <a:off x="-261691" y="100573"/>
                            <a:ext cx="649357" cy="125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67DBA5" w14:textId="77777777" w:rsidR="00442A3B" w:rsidRDefault="00A77B5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EU</w:t>
                              </w:r>
                              <w:r>
                                <w:rPr>
                                  <w:spacing w:val="-18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2166/1/E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25" style="width:7.45801pt;height:38.444pt;position:absolute;mso-position-horizontal-relative:page;mso-position-horizontal:absolute;margin-left:14.294pt;mso-position-vertical-relative:page;margin-top:774.099pt;" coordsize="947,4882">
                <v:rect id="Rectangle 183" style="position:absolute;width:6493;height:1259;left:-2616;top:100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 xml:space="preserve">EU</w:t>
                        </w:r>
                        <w:r>
                          <w:rPr>
                            <w:spacing w:val="-18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 xml:space="preserve">2166/1/E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proofErr w:type="gramStart"/>
      <w:r>
        <w:t xml:space="preserve">Poruší - </w:t>
      </w:r>
      <w:proofErr w:type="spellStart"/>
      <w:r>
        <w:t>li</w:t>
      </w:r>
      <w:proofErr w:type="spellEnd"/>
      <w:proofErr w:type="gramEnd"/>
      <w:r>
        <w:t xml:space="preserve"> pojistník nebo pojištěný povinnost oznámit zvýšení pojist</w:t>
      </w:r>
      <w:r>
        <w:t xml:space="preserve">ného rizika a nastane - </w:t>
      </w:r>
      <w:proofErr w:type="spellStart"/>
      <w:r>
        <w:t>li</w:t>
      </w:r>
      <w:proofErr w:type="spellEnd"/>
      <w:r>
        <w:t xml:space="preserve"> po této změně pojistná událost, má pojistitel právo snížit pojistné plnění úměrně k tomu, jaký je poměr pojistného, které obdržel, k pojistnému, které by měl obdržet, kdyby se byl o zvýšení pojistného rizika z oznámení včas dozvěděl.</w:t>
      </w:r>
    </w:p>
    <w:p w14:paraId="4AABA9BA" w14:textId="77777777" w:rsidR="00442A3B" w:rsidRDefault="00A77B5D">
      <w:pPr>
        <w:pStyle w:val="Nadpis1"/>
        <w:spacing w:after="189"/>
        <w:ind w:left="-5"/>
      </w:pPr>
      <w:r>
        <w:t xml:space="preserve">Článek 5 </w:t>
      </w:r>
      <w:r>
        <w:t>Přechodné odchýlení od bezpečnostních předpisů</w:t>
      </w:r>
    </w:p>
    <w:p w14:paraId="369B1246" w14:textId="77777777" w:rsidR="00442A3B" w:rsidRDefault="00A77B5D">
      <w:pPr>
        <w:ind w:left="-4"/>
      </w:pPr>
      <w:r>
        <w:t xml:space="preserve">Případné přechodné odchýlení se od ujednání bezpečnostních a provozních předpisů při realizaci stavby, přestavby a oprav v místě pojištění je možné, pokud to vyžadují naléhavé technické důvody. Při realizaci je nezbytné zajistit zvýšenou péči ve smyslu naplnění ujednání všeobecných pojistných </w:t>
      </w:r>
      <w:proofErr w:type="gramStart"/>
      <w:r>
        <w:t>podmínek  pro</w:t>
      </w:r>
      <w:proofErr w:type="gramEnd"/>
      <w:r>
        <w:t xml:space="preserve"> </w:t>
      </w:r>
      <w:proofErr w:type="spellStart"/>
      <w:r>
        <w:t>všerizikové</w:t>
      </w:r>
      <w:proofErr w:type="spellEnd"/>
      <w:r>
        <w:t xml:space="preserve"> pojištění (ALLRISK) majetku – zvláštní část – UCZ/AR/14/A.   </w:t>
      </w:r>
    </w:p>
    <w:p w14:paraId="7618C8C4" w14:textId="77777777" w:rsidR="00442A3B" w:rsidRDefault="00A77B5D">
      <w:pPr>
        <w:spacing w:after="0" w:line="246" w:lineRule="auto"/>
        <w:ind w:left="0" w:firstLine="0"/>
        <w:jc w:val="left"/>
      </w:pPr>
      <w:r>
        <w:rPr>
          <w:b/>
        </w:rPr>
        <w:t>Za přechodné se nepovažuje odchýlení od těchto ujednání přesahující dobu čtyř měsíců.</w:t>
      </w:r>
    </w:p>
    <w:p w14:paraId="2FDAF007" w14:textId="77777777" w:rsidR="00442A3B" w:rsidRDefault="00A77B5D">
      <w:pPr>
        <w:spacing w:after="394"/>
        <w:ind w:left="-4"/>
      </w:pPr>
      <w:r>
        <w:rPr>
          <w:b/>
        </w:rPr>
        <w:t xml:space="preserve">Výše uvedené ujednání se nevztahuje na provádění požárních prací </w:t>
      </w:r>
      <w:r>
        <w:t xml:space="preserve">bez ohledu na skutečnost, zda jsou prováděny vlastními zaměstnanci nebo cizími subjekty (firmami), stejně jako na povinnosti pojistníka před vznikem pojistné události podle článku 13 odst. 1 Všeobecných pojistných podmínek pro </w:t>
      </w:r>
      <w:proofErr w:type="spellStart"/>
      <w:r>
        <w:t>všerizikové</w:t>
      </w:r>
      <w:proofErr w:type="spellEnd"/>
      <w:r>
        <w:t xml:space="preserve"> pojištění (ALLRISK) majetku – zvláštní část – UCZ/AR/14/A (např. signalizace ohlašující požár, hasicí zařízení</w:t>
      </w:r>
      <w:r>
        <w:t xml:space="preserve"> </w:t>
      </w:r>
      <w:r>
        <w:t>a zařízení pro vyhlášení poplachu).</w:t>
      </w:r>
    </w:p>
    <w:p w14:paraId="7D371AE0" w14:textId="77777777" w:rsidR="00442A3B" w:rsidRDefault="00A77B5D">
      <w:pPr>
        <w:pStyle w:val="Nadpis1"/>
        <w:spacing w:after="189"/>
        <w:ind w:left="-5"/>
      </w:pPr>
      <w:r>
        <w:t xml:space="preserve">Článek 6 </w:t>
      </w:r>
      <w:r>
        <w:t>Odpovědnost při pracích prováděných cizími subjekty Porušení bezpečnostních předpisů</w:t>
      </w:r>
    </w:p>
    <w:p w14:paraId="460EF784" w14:textId="77777777" w:rsidR="00442A3B" w:rsidRDefault="00A77B5D">
      <w:pPr>
        <w:numPr>
          <w:ilvl w:val="0"/>
          <w:numId w:val="2"/>
        </w:numPr>
        <w:ind w:hanging="284"/>
      </w:pPr>
      <w:r>
        <w:t>Rovněž při provádění prací cizími subjekty je nezbytné zabezpečit dodržování bezpečnostních předpisů a zajistit provádění nezbytné kontroly spolehlivými pracovníky pojistníka.</w:t>
      </w:r>
    </w:p>
    <w:p w14:paraId="473A4B69" w14:textId="77777777" w:rsidR="00442A3B" w:rsidRDefault="00A77B5D">
      <w:pPr>
        <w:spacing w:after="0" w:line="259" w:lineRule="auto"/>
        <w:ind w:left="0" w:firstLine="0"/>
        <w:jc w:val="left"/>
      </w:pPr>
      <w:r>
        <w:t xml:space="preserve"> </w:t>
      </w:r>
    </w:p>
    <w:p w14:paraId="226BC76C" w14:textId="77777777" w:rsidR="00442A3B" w:rsidRDefault="00A77B5D">
      <w:pPr>
        <w:numPr>
          <w:ilvl w:val="0"/>
          <w:numId w:val="2"/>
        </w:numPr>
        <w:spacing w:after="94"/>
        <w:ind w:hanging="284"/>
      </w:pPr>
      <w:r>
        <w:t>Při provádění požárních prací je nezbytně nutné za všech okolnos</w:t>
      </w:r>
      <w:r>
        <w:t xml:space="preserve">tí </w:t>
      </w:r>
      <w:r>
        <w:t xml:space="preserve">zajistit dodržování podmínek uvedených ve „Všeobecných bezpečnostních předpisech pro průmyslová a podnikatelská zařízení“. Za dodržování těchto předpisů nese pojistník plnou </w:t>
      </w:r>
      <w:proofErr w:type="spellStart"/>
      <w:proofErr w:type="gramStart"/>
      <w:r>
        <w:t>odpověd</w:t>
      </w:r>
      <w:proofErr w:type="spellEnd"/>
      <w:r>
        <w:t>-</w:t>
      </w:r>
      <w:r>
        <w:t xml:space="preserve"> </w:t>
      </w:r>
      <w:proofErr w:type="spellStart"/>
      <w:r>
        <w:t>nost</w:t>
      </w:r>
      <w:proofErr w:type="spellEnd"/>
      <w:proofErr w:type="gramEnd"/>
      <w:r>
        <w:t>.</w:t>
      </w:r>
    </w:p>
    <w:p w14:paraId="1BCE50A1" w14:textId="77777777" w:rsidR="00442A3B" w:rsidRDefault="00A77B5D">
      <w:pPr>
        <w:numPr>
          <w:ilvl w:val="0"/>
          <w:numId w:val="2"/>
        </w:numPr>
        <w:spacing w:after="394"/>
        <w:ind w:hanging="284"/>
      </w:pPr>
      <w:r>
        <w:t>V případě, že přes výše uvedené skutečnosti budou bezpečnostní předpisy ze strany práce provádějících řemeslníků, jejich zaměstnanců nebo pracovníků vědomě či z neznalosti porušeny, pojištění se na ně nevztahuje.</w:t>
      </w:r>
    </w:p>
    <w:p w14:paraId="54F7F486" w14:textId="77777777" w:rsidR="00442A3B" w:rsidRDefault="00A77B5D">
      <w:pPr>
        <w:pStyle w:val="Nadpis1"/>
        <w:spacing w:after="189"/>
        <w:ind w:left="-5"/>
      </w:pPr>
      <w:r>
        <w:t>Článek 7 Soudní znalci</w:t>
      </w:r>
    </w:p>
    <w:p w14:paraId="476C8FD2" w14:textId="77777777" w:rsidR="00442A3B" w:rsidRDefault="00A77B5D">
      <w:pPr>
        <w:spacing w:after="394"/>
        <w:ind w:left="-4"/>
      </w:pPr>
      <w:r>
        <w:t>Pojistník nejmenuje znalcem žádnou osobu, která má závazky k některé ze smluvních stran jak doma, tak i v zahraničí.</w:t>
      </w:r>
    </w:p>
    <w:p w14:paraId="2AD64EA5" w14:textId="77777777" w:rsidR="00442A3B" w:rsidRDefault="00A77B5D">
      <w:pPr>
        <w:pStyle w:val="Nadpis1"/>
        <w:spacing w:after="189"/>
        <w:ind w:left="-5"/>
      </w:pPr>
      <w:r>
        <w:t xml:space="preserve">Článek 8 </w:t>
      </w:r>
      <w:r>
        <w:t>Vyrovnání částek</w:t>
      </w:r>
    </w:p>
    <w:p w14:paraId="235BABE0" w14:textId="62968276" w:rsidR="00A77B5D" w:rsidRDefault="00A77B5D" w:rsidP="00A77B5D">
      <w:pPr>
        <w:pStyle w:val="Odstavecseseznamem"/>
        <w:numPr>
          <w:ilvl w:val="0"/>
          <w:numId w:val="3"/>
        </w:numPr>
      </w:pPr>
      <w:r>
        <w:t>V případě, že pojistné částky pro jednotlivé položky přesáhnou příslušné pojistné hodnoty, rozdělí se přesahující poměrné částky na ty položky, u kterých po rozdělení preventivní částky dochází k podpojištění.</w:t>
      </w:r>
      <w:r w:rsidRPr="00A77B5D">
        <w:t xml:space="preserve"> </w:t>
      </w:r>
      <w:r>
        <w:t>Pokud jsou pro takové pojištěné položky použity odlišné sazby pojistného, přepočítá se přesahující pojistná částka v poměru k pojistnému.</w:t>
      </w:r>
    </w:p>
    <w:p w14:paraId="7A93E43C" w14:textId="0EDD807A" w:rsidR="00442A3B" w:rsidRDefault="00442A3B" w:rsidP="00A77B5D">
      <w:pPr>
        <w:ind w:left="284" w:firstLine="0"/>
      </w:pPr>
    </w:p>
    <w:p w14:paraId="6CC382E9" w14:textId="77777777" w:rsidR="00A77B5D" w:rsidRDefault="00A77B5D" w:rsidP="00A77B5D">
      <w:pPr>
        <w:pStyle w:val="Odstavecseseznamem"/>
        <w:ind w:left="284" w:firstLine="0"/>
      </w:pPr>
    </w:p>
    <w:p w14:paraId="28D75B8C" w14:textId="77777777" w:rsidR="00A77B5D" w:rsidRDefault="00A77B5D" w:rsidP="00A77B5D"/>
    <w:p w14:paraId="2A1A41F3" w14:textId="77777777" w:rsidR="00A77B5D" w:rsidRDefault="00A77B5D" w:rsidP="00A77B5D"/>
    <w:p w14:paraId="16A7B8E7" w14:textId="4955C3A0" w:rsidR="00442A3B" w:rsidRDefault="00A77B5D">
      <w:pPr>
        <w:spacing w:after="94"/>
        <w:ind w:left="270" w:hanging="284"/>
      </w:pPr>
      <w:r>
        <w:t xml:space="preserve"> </w:t>
      </w:r>
    </w:p>
    <w:p w14:paraId="28A761AD" w14:textId="77777777" w:rsidR="00442A3B" w:rsidRDefault="00442A3B">
      <w:pPr>
        <w:sectPr w:rsidR="00442A3B">
          <w:pgSz w:w="11906" w:h="16838"/>
          <w:pgMar w:top="0" w:right="700" w:bottom="1440" w:left="700" w:header="708" w:footer="708" w:gutter="0"/>
          <w:cols w:num="2" w:space="241"/>
        </w:sectPr>
      </w:pPr>
    </w:p>
    <w:p w14:paraId="2AB0E0B7" w14:textId="100DDAD9" w:rsidR="00A77B5D" w:rsidRDefault="00A77B5D">
      <w:pPr>
        <w:spacing w:after="96"/>
        <w:ind w:left="294" w:right="3729"/>
      </w:pPr>
      <w:r>
        <w:tab/>
      </w:r>
    </w:p>
    <w:p w14:paraId="2CF40E3F" w14:textId="77777777" w:rsidR="00A77B5D" w:rsidRDefault="00A77B5D">
      <w:pPr>
        <w:spacing w:after="96"/>
        <w:ind w:left="294" w:right="3729"/>
      </w:pPr>
    </w:p>
    <w:p w14:paraId="21A8133D" w14:textId="77777777" w:rsidR="00A77B5D" w:rsidRDefault="00A77B5D" w:rsidP="00A77B5D">
      <w:pPr>
        <w:numPr>
          <w:ilvl w:val="0"/>
          <w:numId w:val="3"/>
        </w:numPr>
        <w:spacing w:after="94"/>
        <w:ind w:hanging="284"/>
      </w:pPr>
      <w:r>
        <w:t>Pro rozdělení je rozhodující poměr částek, o které přesahují pojistné hodnoty jednotlivých pojištěných položek pojistné částky. Nezohledňuje se přitom, která pojištěná položka byla postižena škodnou událostí.</w:t>
      </w:r>
    </w:p>
    <w:p w14:paraId="47F6D185" w14:textId="1D0FD9E3" w:rsidR="00A77B5D" w:rsidRDefault="00A77B5D" w:rsidP="00A77B5D">
      <w:pPr>
        <w:numPr>
          <w:ilvl w:val="0"/>
          <w:numId w:val="3"/>
        </w:numPr>
        <w:ind w:hanging="284"/>
      </w:pPr>
      <w:r>
        <w:t>U položek, pro které je sjednána doložka o přizpůsobení hodnoty je za pojistnou částku považována výchozí částka včetně přizpůsobení</w:t>
      </w:r>
      <w:r>
        <w:t xml:space="preserve"> hodnoty.</w:t>
      </w:r>
    </w:p>
    <w:p w14:paraId="131FD15A" w14:textId="77777777" w:rsidR="00442A3B" w:rsidRDefault="00A77B5D">
      <w:pPr>
        <w:numPr>
          <w:ilvl w:val="0"/>
          <w:numId w:val="3"/>
        </w:numPr>
        <w:ind w:hanging="284"/>
      </w:pPr>
      <w:r>
        <w:t xml:space="preserve">Vyrovnání částek není možné u </w:t>
      </w:r>
      <w:proofErr w:type="gramStart"/>
      <w:r>
        <w:t>položek :</w:t>
      </w:r>
      <w:proofErr w:type="gramEnd"/>
    </w:p>
    <w:p w14:paraId="45FF1E2B" w14:textId="4F8CB598" w:rsidR="00442A3B" w:rsidRDefault="00A77B5D">
      <w:pPr>
        <w:ind w:left="-4" w:right="7298"/>
      </w:pPr>
      <w:r>
        <w:tab/>
        <w:t xml:space="preserve">- zásob pro pojištění k rozhodnému </w:t>
      </w:r>
      <w:proofErr w:type="gramStart"/>
      <w:r>
        <w:t xml:space="preserve">dni;   </w:t>
      </w:r>
      <w:proofErr w:type="gramEnd"/>
      <w:r>
        <w:tab/>
        <w:t>- pojistné částky na „první riziko“.</w:t>
      </w:r>
    </w:p>
    <w:p w14:paraId="7B9A4608" w14:textId="77777777" w:rsidR="00A77B5D" w:rsidRDefault="00A77B5D">
      <w:pPr>
        <w:ind w:left="-4" w:right="7298"/>
      </w:pPr>
    </w:p>
    <w:p w14:paraId="0DE58F52" w14:textId="77777777" w:rsidR="00A77B5D" w:rsidRDefault="00A77B5D" w:rsidP="00A77B5D">
      <w:pPr>
        <w:spacing w:after="0" w:line="259" w:lineRule="auto"/>
        <w:ind w:left="0" w:firstLine="0"/>
      </w:pPr>
      <w:r w:rsidRPr="00A77B5D">
        <w:rPr>
          <w:b/>
          <w:color w:val="215A98"/>
        </w:rPr>
        <w:t>Článek 9 Účinnost</w:t>
      </w:r>
      <w:r w:rsidRPr="00A77B5D">
        <w:t xml:space="preserve"> </w:t>
      </w:r>
    </w:p>
    <w:p w14:paraId="641F7024" w14:textId="41CDC403" w:rsidR="00A77B5D" w:rsidRDefault="00A77B5D" w:rsidP="00A77B5D">
      <w:pPr>
        <w:spacing w:after="0" w:line="259" w:lineRule="auto"/>
        <w:ind w:left="0" w:firstLine="0"/>
      </w:pPr>
      <w:r>
        <w:t>Tyto doplňkové pojistné podmínky nabývají účinnosti dnem 01.01.2014.</w:t>
      </w:r>
    </w:p>
    <w:p w14:paraId="2874D835" w14:textId="251E12CF" w:rsidR="00A77B5D" w:rsidRDefault="00A77B5D" w:rsidP="00A77B5D">
      <w:pPr>
        <w:pStyle w:val="Odstavecseseznamem"/>
        <w:spacing w:after="96"/>
        <w:ind w:left="284" w:right="3729" w:firstLine="0"/>
      </w:pPr>
    </w:p>
    <w:p w14:paraId="37807693" w14:textId="77777777" w:rsidR="00A77B5D" w:rsidRDefault="00A77B5D">
      <w:pPr>
        <w:ind w:left="-4" w:right="7298"/>
      </w:pPr>
    </w:p>
    <w:p w14:paraId="16B2BB43" w14:textId="77777777" w:rsidR="00A77B5D" w:rsidRDefault="00A77B5D">
      <w:pPr>
        <w:ind w:left="-4" w:right="7298"/>
      </w:pPr>
    </w:p>
    <w:p w14:paraId="1F986BD0" w14:textId="77777777" w:rsidR="00A77B5D" w:rsidRDefault="00A77B5D">
      <w:pPr>
        <w:ind w:left="-4" w:right="7298"/>
      </w:pPr>
    </w:p>
    <w:p w14:paraId="2AF0D2B5" w14:textId="77777777" w:rsidR="00A77B5D" w:rsidRDefault="00A77B5D">
      <w:pPr>
        <w:ind w:left="-4" w:right="7298"/>
      </w:pPr>
    </w:p>
    <w:p w14:paraId="155F6B2E" w14:textId="77777777" w:rsidR="00A77B5D" w:rsidRDefault="00A77B5D">
      <w:pPr>
        <w:ind w:left="-4" w:right="7298"/>
      </w:pPr>
    </w:p>
    <w:p w14:paraId="6C7212A7" w14:textId="77777777" w:rsidR="00A77B5D" w:rsidRDefault="00A77B5D">
      <w:pPr>
        <w:ind w:left="-4" w:right="7298"/>
      </w:pPr>
    </w:p>
    <w:p w14:paraId="672153BD" w14:textId="77777777" w:rsidR="00A77B5D" w:rsidRDefault="00A77B5D">
      <w:pPr>
        <w:ind w:left="-4" w:right="7298"/>
      </w:pPr>
    </w:p>
    <w:p w14:paraId="1BA5A6C5" w14:textId="77777777" w:rsidR="00A77B5D" w:rsidRDefault="00A77B5D">
      <w:pPr>
        <w:ind w:left="-4" w:right="7298"/>
      </w:pPr>
    </w:p>
    <w:p w14:paraId="1B4CE215" w14:textId="77777777" w:rsidR="00A77B5D" w:rsidRDefault="00A77B5D">
      <w:pPr>
        <w:ind w:left="-4" w:right="7298"/>
      </w:pPr>
    </w:p>
    <w:p w14:paraId="19C769EA" w14:textId="77777777" w:rsidR="00A77B5D" w:rsidRDefault="00A77B5D">
      <w:pPr>
        <w:ind w:left="-4" w:right="7298"/>
      </w:pPr>
    </w:p>
    <w:p w14:paraId="6287EA9C" w14:textId="77777777" w:rsidR="00A77B5D" w:rsidRDefault="00A77B5D">
      <w:pPr>
        <w:ind w:left="-4" w:right="7298"/>
      </w:pPr>
    </w:p>
    <w:p w14:paraId="252CDEEF" w14:textId="77777777" w:rsidR="00A77B5D" w:rsidRDefault="00A77B5D">
      <w:pPr>
        <w:ind w:left="-4" w:right="7298"/>
      </w:pPr>
    </w:p>
    <w:p w14:paraId="223414DA" w14:textId="77777777" w:rsidR="00A77B5D" w:rsidRDefault="00A77B5D">
      <w:pPr>
        <w:ind w:left="-4" w:right="7298"/>
      </w:pPr>
    </w:p>
    <w:p w14:paraId="742B84E4" w14:textId="77777777" w:rsidR="00A77B5D" w:rsidRDefault="00A77B5D">
      <w:pPr>
        <w:ind w:left="-4" w:right="7298"/>
      </w:pPr>
    </w:p>
    <w:p w14:paraId="4AB07001" w14:textId="77777777" w:rsidR="00A77B5D" w:rsidRDefault="00A77B5D">
      <w:pPr>
        <w:ind w:left="-4" w:right="7298"/>
      </w:pPr>
    </w:p>
    <w:p w14:paraId="5236C162" w14:textId="77777777" w:rsidR="00A77B5D" w:rsidRDefault="00A77B5D">
      <w:pPr>
        <w:ind w:left="-4" w:right="7298"/>
      </w:pPr>
    </w:p>
    <w:p w14:paraId="0492BBD8" w14:textId="77777777" w:rsidR="00A77B5D" w:rsidRDefault="00A77B5D">
      <w:pPr>
        <w:ind w:left="-4" w:right="7298"/>
      </w:pPr>
    </w:p>
    <w:p w14:paraId="1D1A816A" w14:textId="77777777" w:rsidR="00A77B5D" w:rsidRDefault="00A77B5D">
      <w:pPr>
        <w:ind w:left="-4" w:right="7298"/>
      </w:pPr>
    </w:p>
    <w:p w14:paraId="5E122FF5" w14:textId="77777777" w:rsidR="00A77B5D" w:rsidRDefault="00A77B5D">
      <w:pPr>
        <w:ind w:left="-4" w:right="7298"/>
      </w:pPr>
    </w:p>
    <w:p w14:paraId="33545273" w14:textId="77777777" w:rsidR="00A77B5D" w:rsidRDefault="00A77B5D">
      <w:pPr>
        <w:ind w:left="-4" w:right="7298"/>
      </w:pPr>
    </w:p>
    <w:p w14:paraId="26CF0F01" w14:textId="77777777" w:rsidR="00A77B5D" w:rsidRDefault="00A77B5D">
      <w:pPr>
        <w:ind w:left="-4" w:right="7298"/>
      </w:pPr>
    </w:p>
    <w:p w14:paraId="62E6B568" w14:textId="77777777" w:rsidR="00A77B5D" w:rsidRDefault="00A77B5D">
      <w:pPr>
        <w:ind w:left="-4" w:right="7298"/>
      </w:pPr>
    </w:p>
    <w:p w14:paraId="3763DFA3" w14:textId="77777777" w:rsidR="00A77B5D" w:rsidRDefault="00A77B5D">
      <w:pPr>
        <w:ind w:left="-4" w:right="7298"/>
      </w:pPr>
    </w:p>
    <w:p w14:paraId="162BBB0F" w14:textId="77777777" w:rsidR="00A77B5D" w:rsidRDefault="00A77B5D">
      <w:pPr>
        <w:ind w:left="-4" w:right="7298"/>
      </w:pPr>
    </w:p>
    <w:p w14:paraId="607E7548" w14:textId="77777777" w:rsidR="00A77B5D" w:rsidRDefault="00A77B5D">
      <w:pPr>
        <w:ind w:left="-4" w:right="7298"/>
      </w:pPr>
    </w:p>
    <w:p w14:paraId="62803B75" w14:textId="77777777" w:rsidR="00A77B5D" w:rsidRDefault="00A77B5D">
      <w:pPr>
        <w:ind w:left="-4" w:right="7298"/>
      </w:pPr>
    </w:p>
    <w:p w14:paraId="02F7C016" w14:textId="77777777" w:rsidR="00A77B5D" w:rsidRDefault="00A77B5D">
      <w:pPr>
        <w:ind w:left="-4" w:right="7298"/>
      </w:pPr>
    </w:p>
    <w:p w14:paraId="4EE59B0F" w14:textId="77777777" w:rsidR="00A77B5D" w:rsidRDefault="00A77B5D">
      <w:pPr>
        <w:ind w:left="-4" w:right="7298"/>
      </w:pPr>
    </w:p>
    <w:p w14:paraId="47D7725D" w14:textId="77777777" w:rsidR="00A77B5D" w:rsidRDefault="00A77B5D">
      <w:pPr>
        <w:ind w:left="-4" w:right="7298"/>
      </w:pPr>
    </w:p>
    <w:p w14:paraId="75DCB234" w14:textId="77777777" w:rsidR="00A77B5D" w:rsidRDefault="00A77B5D">
      <w:pPr>
        <w:ind w:left="-4" w:right="7298"/>
      </w:pPr>
    </w:p>
    <w:p w14:paraId="4EF930E6" w14:textId="77777777" w:rsidR="00A77B5D" w:rsidRDefault="00A77B5D">
      <w:pPr>
        <w:ind w:left="-4" w:right="7298"/>
      </w:pPr>
    </w:p>
    <w:p w14:paraId="49948671" w14:textId="77777777" w:rsidR="00A77B5D" w:rsidRDefault="00A77B5D">
      <w:pPr>
        <w:ind w:left="-4" w:right="7298"/>
      </w:pPr>
    </w:p>
    <w:p w14:paraId="4A18D986" w14:textId="77777777" w:rsidR="00A77B5D" w:rsidRDefault="00A77B5D">
      <w:pPr>
        <w:ind w:left="-4" w:right="7298"/>
      </w:pPr>
    </w:p>
    <w:p w14:paraId="43CF91C2" w14:textId="77777777" w:rsidR="00A77B5D" w:rsidRDefault="00A77B5D">
      <w:pPr>
        <w:ind w:left="-4" w:right="7298"/>
      </w:pPr>
    </w:p>
    <w:p w14:paraId="5EAC1B39" w14:textId="77777777" w:rsidR="00A77B5D" w:rsidRDefault="00A77B5D">
      <w:pPr>
        <w:ind w:left="-4" w:right="7298"/>
      </w:pPr>
    </w:p>
    <w:p w14:paraId="2C758980" w14:textId="77777777" w:rsidR="00A77B5D" w:rsidRDefault="00A77B5D">
      <w:pPr>
        <w:ind w:left="-4" w:right="7298"/>
      </w:pPr>
    </w:p>
    <w:p w14:paraId="1CCA6F3C" w14:textId="77777777" w:rsidR="00A77B5D" w:rsidRDefault="00A77B5D">
      <w:pPr>
        <w:ind w:left="-4" w:right="7298"/>
      </w:pPr>
    </w:p>
    <w:p w14:paraId="0EBA6E36" w14:textId="77777777" w:rsidR="00A77B5D" w:rsidRDefault="00A77B5D">
      <w:pPr>
        <w:ind w:left="-4" w:right="7298"/>
      </w:pPr>
    </w:p>
    <w:p w14:paraId="4DA423E6" w14:textId="77777777" w:rsidR="00A77B5D" w:rsidRDefault="00A77B5D">
      <w:pPr>
        <w:ind w:left="-4" w:right="7298"/>
      </w:pPr>
    </w:p>
    <w:p w14:paraId="428A368B" w14:textId="77777777" w:rsidR="00A77B5D" w:rsidRDefault="00A77B5D">
      <w:pPr>
        <w:ind w:left="-4" w:right="7298"/>
      </w:pPr>
    </w:p>
    <w:p w14:paraId="096F66B3" w14:textId="77777777" w:rsidR="00A77B5D" w:rsidRDefault="00A77B5D">
      <w:pPr>
        <w:ind w:left="-4" w:right="7298"/>
      </w:pPr>
    </w:p>
    <w:p w14:paraId="1A07A94D" w14:textId="77777777" w:rsidR="00A77B5D" w:rsidRDefault="00A77B5D">
      <w:pPr>
        <w:ind w:left="-4" w:right="7298"/>
      </w:pPr>
    </w:p>
    <w:p w14:paraId="3CF36E3B" w14:textId="77777777" w:rsidR="00A77B5D" w:rsidRDefault="00A77B5D">
      <w:pPr>
        <w:ind w:left="-4" w:right="7298"/>
      </w:pPr>
    </w:p>
    <w:p w14:paraId="4FD25763" w14:textId="77777777" w:rsidR="00A77B5D" w:rsidRDefault="00A77B5D">
      <w:pPr>
        <w:ind w:left="-4" w:right="7298"/>
      </w:pPr>
    </w:p>
    <w:p w14:paraId="6E0BC439" w14:textId="77777777" w:rsidR="00A77B5D" w:rsidRDefault="00A77B5D">
      <w:pPr>
        <w:ind w:left="-4" w:right="7298"/>
      </w:pPr>
    </w:p>
    <w:p w14:paraId="75BDB5D7" w14:textId="77777777" w:rsidR="00A77B5D" w:rsidRDefault="00A77B5D">
      <w:pPr>
        <w:ind w:left="-4" w:right="7298"/>
      </w:pPr>
    </w:p>
    <w:p w14:paraId="3D9DAFAF" w14:textId="77777777" w:rsidR="00A77B5D" w:rsidRDefault="00A77B5D">
      <w:pPr>
        <w:ind w:left="-4" w:right="7298"/>
      </w:pPr>
    </w:p>
    <w:p w14:paraId="20502B9F" w14:textId="77777777" w:rsidR="00A77B5D" w:rsidRDefault="00A77B5D">
      <w:pPr>
        <w:ind w:left="-4" w:right="7298"/>
      </w:pPr>
    </w:p>
    <w:p w14:paraId="77224F33" w14:textId="77777777" w:rsidR="00A77B5D" w:rsidRDefault="00A77B5D">
      <w:pPr>
        <w:ind w:left="-4" w:right="7298"/>
      </w:pPr>
    </w:p>
    <w:p w14:paraId="393669C4" w14:textId="77777777" w:rsidR="00A77B5D" w:rsidRDefault="00A77B5D">
      <w:pPr>
        <w:ind w:left="-4" w:right="7298"/>
      </w:pPr>
    </w:p>
    <w:p w14:paraId="28AEC4FC" w14:textId="77777777" w:rsidR="00A77B5D" w:rsidRDefault="00A77B5D">
      <w:pPr>
        <w:ind w:left="-4" w:right="7298"/>
      </w:pPr>
    </w:p>
    <w:p w14:paraId="31B32BEB" w14:textId="77777777" w:rsidR="00A77B5D" w:rsidRDefault="00A77B5D">
      <w:pPr>
        <w:ind w:left="-4" w:right="7298"/>
      </w:pPr>
    </w:p>
    <w:sectPr w:rsidR="00A77B5D" w:rsidSect="00A77B5D">
      <w:type w:val="continuous"/>
      <w:pgSz w:w="11906" w:h="16838"/>
      <w:pgMar w:top="1843" w:right="779" w:bottom="1440" w:left="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158B8"/>
    <w:multiLevelType w:val="hybridMultilevel"/>
    <w:tmpl w:val="9684DE38"/>
    <w:lvl w:ilvl="0" w:tplc="FFFFFFFF">
      <w:start w:val="1"/>
      <w:numFmt w:val="lowerLetter"/>
      <w:lvlText w:val="%1)"/>
      <w:lvlJc w:val="left"/>
      <w:pPr>
        <w:ind w:left="28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E87ED3"/>
    <w:multiLevelType w:val="hybridMultilevel"/>
    <w:tmpl w:val="9684DE38"/>
    <w:lvl w:ilvl="0" w:tplc="B98246DC">
      <w:start w:val="1"/>
      <w:numFmt w:val="lowerLetter"/>
      <w:lvlText w:val="%1)"/>
      <w:lvlJc w:val="left"/>
      <w:pPr>
        <w:ind w:left="28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5B66F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74299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AF6BA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9F489B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C60BB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08647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302E8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12412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9170A8"/>
    <w:multiLevelType w:val="hybridMultilevel"/>
    <w:tmpl w:val="5AD28324"/>
    <w:lvl w:ilvl="0" w:tplc="789A45E4">
      <w:start w:val="1"/>
      <w:numFmt w:val="lowerLetter"/>
      <w:lvlText w:val="%1)"/>
      <w:lvlJc w:val="left"/>
      <w:pPr>
        <w:ind w:left="28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E5016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F6601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89E7F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28EF5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18830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31C15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E4E9D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51021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2659E4"/>
    <w:multiLevelType w:val="hybridMultilevel"/>
    <w:tmpl w:val="783C232C"/>
    <w:lvl w:ilvl="0" w:tplc="91027306">
      <w:start w:val="1"/>
      <w:numFmt w:val="lowerLetter"/>
      <w:lvlText w:val="%1)"/>
      <w:lvlJc w:val="left"/>
      <w:pPr>
        <w:ind w:left="284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EA4CCE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06416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148E1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28EA4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70EF55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BC03C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8D88C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1F62C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4721657">
    <w:abstractNumId w:val="3"/>
  </w:num>
  <w:num w:numId="2" w16cid:durableId="205289858">
    <w:abstractNumId w:val="2"/>
  </w:num>
  <w:num w:numId="3" w16cid:durableId="401368264">
    <w:abstractNumId w:val="1"/>
  </w:num>
  <w:num w:numId="4" w16cid:durableId="122946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A3B"/>
    <w:rsid w:val="00110179"/>
    <w:rsid w:val="00442A3B"/>
    <w:rsid w:val="00A7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89C8"/>
  <w15:docId w15:val="{1256C5BA-2513-4DEC-93A3-139D5158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5" w:lineRule="auto"/>
      <w:ind w:left="10" w:hanging="10"/>
      <w:jc w:val="both"/>
    </w:pPr>
    <w:rPr>
      <w:rFonts w:ascii="Calibri" w:eastAsia="Calibri" w:hAnsi="Calibri" w:cs="Calibri"/>
      <w:i/>
      <w:color w:val="181717"/>
      <w:sz w:val="16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i/>
      <w:color w:val="215A98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i/>
      <w:color w:val="215A98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A77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884</Words>
  <Characters>5220</Characters>
  <Application>Microsoft Office Word</Application>
  <DocSecurity>0</DocSecurity>
  <Lines>43</Lines>
  <Paragraphs>12</Paragraphs>
  <ScaleCrop>false</ScaleCrop>
  <Company>Národní muzeum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Lubovská Markéta</dc:creator>
  <cp:keywords/>
  <cp:lastModifiedBy>Lubovská Markéta</cp:lastModifiedBy>
  <cp:revision>2</cp:revision>
  <dcterms:created xsi:type="dcterms:W3CDTF">2024-07-02T10:08:00Z</dcterms:created>
  <dcterms:modified xsi:type="dcterms:W3CDTF">2024-07-02T10:08:00Z</dcterms:modified>
</cp:coreProperties>
</file>