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7D93AF" w14:textId="77777777" w:rsidR="00A4312E" w:rsidRDefault="00A4312E">
      <w:pPr>
        <w:spacing w:line="360" w:lineRule="auto"/>
        <w:jc w:val="center"/>
      </w:pPr>
      <w:r>
        <w:rPr>
          <w:b/>
          <w:sz w:val="24"/>
          <w:szCs w:val="24"/>
        </w:rPr>
        <w:t>S M L O U V A</w:t>
      </w:r>
    </w:p>
    <w:p w14:paraId="2F977339" w14:textId="77777777" w:rsidR="00A4312E" w:rsidRDefault="00A4312E">
      <w:pPr>
        <w:spacing w:line="360" w:lineRule="auto"/>
        <w:jc w:val="center"/>
      </w:pPr>
      <w:r>
        <w:rPr>
          <w:sz w:val="24"/>
          <w:szCs w:val="24"/>
        </w:rPr>
        <w:t>je uzavřená dále uvedeného dne, měsíce a roku mezi:</w:t>
      </w:r>
    </w:p>
    <w:p w14:paraId="602C1298" w14:textId="77777777" w:rsidR="00A4312E" w:rsidRDefault="00A4312E">
      <w:pPr>
        <w:spacing w:line="360" w:lineRule="auto"/>
        <w:jc w:val="center"/>
        <w:rPr>
          <w:sz w:val="24"/>
          <w:szCs w:val="24"/>
          <w:u w:val="single"/>
        </w:rPr>
      </w:pPr>
    </w:p>
    <w:p w14:paraId="15D2369A" w14:textId="77777777" w:rsidR="00A4312E" w:rsidRDefault="00A4312E">
      <w:pPr>
        <w:tabs>
          <w:tab w:val="left" w:pos="11037"/>
        </w:tabs>
        <w:spacing w:line="360" w:lineRule="auto"/>
        <w:ind w:left="283" w:hanging="283"/>
        <w:jc w:val="both"/>
      </w:pPr>
      <w:r>
        <w:rPr>
          <w:b/>
          <w:sz w:val="24"/>
          <w:szCs w:val="24"/>
        </w:rPr>
        <w:t>Poskytovatelem</w:t>
      </w:r>
    </w:p>
    <w:tbl>
      <w:tblPr>
        <w:tblW w:w="0" w:type="auto"/>
        <w:tblInd w:w="-1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8216"/>
      </w:tblGrid>
      <w:tr w:rsidR="00A4312E" w14:paraId="22310A1F" w14:textId="7777777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55C35" w14:textId="77777777" w:rsidR="00A4312E" w:rsidRDefault="00A4312E">
            <w:pPr>
              <w:snapToGrid w:val="0"/>
              <w:spacing w:line="360" w:lineRule="auto"/>
            </w:pPr>
            <w:r>
              <w:rPr>
                <w:sz w:val="24"/>
                <w:szCs w:val="24"/>
              </w:rPr>
              <w:t>Název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21D0" w14:textId="77777777" w:rsidR="00A4312E" w:rsidRDefault="00A4312E">
            <w:pPr>
              <w:snapToGrid w:val="0"/>
              <w:spacing w:line="360" w:lineRule="auto"/>
              <w:jc w:val="both"/>
            </w:pPr>
            <w:r>
              <w:rPr>
                <w:sz w:val="24"/>
                <w:szCs w:val="24"/>
              </w:rPr>
              <w:t>Ing. Tadeáš Narovec</w:t>
            </w:r>
          </w:p>
        </w:tc>
      </w:tr>
      <w:tr w:rsidR="00A4312E" w14:paraId="6D9C047F" w14:textId="7777777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0DC5" w14:textId="77777777" w:rsidR="00A4312E" w:rsidRDefault="00A4312E">
            <w:pPr>
              <w:snapToGrid w:val="0"/>
              <w:spacing w:line="360" w:lineRule="auto"/>
            </w:pPr>
            <w:r>
              <w:rPr>
                <w:sz w:val="24"/>
                <w:szCs w:val="24"/>
              </w:rPr>
              <w:t>Sídlo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157D" w14:textId="77777777" w:rsidR="00A4312E" w:rsidRDefault="0011025E">
            <w:pPr>
              <w:snapToGrid w:val="0"/>
              <w:spacing w:line="360" w:lineRule="auto"/>
              <w:jc w:val="both"/>
            </w:pPr>
            <w:r>
              <w:rPr>
                <w:sz w:val="24"/>
                <w:szCs w:val="24"/>
              </w:rPr>
              <w:t>Třešňová 453</w:t>
            </w:r>
            <w:r w:rsidR="00A4312E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89 37</w:t>
            </w:r>
            <w:r w:rsidR="00A4312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Loučeň</w:t>
            </w:r>
          </w:p>
        </w:tc>
      </w:tr>
      <w:tr w:rsidR="00A4312E" w14:paraId="2D7203F5" w14:textId="7777777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5CCC" w14:textId="77777777" w:rsidR="00A4312E" w:rsidRDefault="00A4312E">
            <w:pPr>
              <w:snapToGrid w:val="0"/>
              <w:spacing w:line="360" w:lineRule="auto"/>
            </w:pPr>
            <w:r>
              <w:rPr>
                <w:sz w:val="24"/>
                <w:szCs w:val="24"/>
              </w:rPr>
              <w:t>IČ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5BDDF" w14:textId="77777777" w:rsidR="00A4312E" w:rsidRDefault="00A4312E">
            <w:pPr>
              <w:snapToGrid w:val="0"/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68889887 </w:t>
            </w:r>
          </w:p>
        </w:tc>
      </w:tr>
      <w:tr w:rsidR="00A4312E" w14:paraId="27647075" w14:textId="7777777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E8FDF" w14:textId="77777777" w:rsidR="00A4312E" w:rsidRDefault="00A4312E">
            <w:pPr>
              <w:snapToGrid w:val="0"/>
              <w:spacing w:line="360" w:lineRule="auto"/>
            </w:pPr>
            <w:r>
              <w:rPr>
                <w:sz w:val="24"/>
                <w:szCs w:val="24"/>
              </w:rPr>
              <w:t>DIČ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0486" w14:textId="77777777" w:rsidR="00A4312E" w:rsidRDefault="00A4312E">
            <w:pPr>
              <w:snapToGrid w:val="0"/>
              <w:spacing w:line="360" w:lineRule="auto"/>
              <w:jc w:val="both"/>
            </w:pPr>
          </w:p>
        </w:tc>
      </w:tr>
      <w:tr w:rsidR="00A4312E" w14:paraId="4B72BFCD" w14:textId="7777777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B0202" w14:textId="77777777" w:rsidR="00A4312E" w:rsidRDefault="00A4312E">
            <w:pPr>
              <w:snapToGrid w:val="0"/>
              <w:spacing w:line="360" w:lineRule="auto"/>
            </w:pPr>
            <w:r>
              <w:rPr>
                <w:sz w:val="24"/>
                <w:szCs w:val="24"/>
              </w:rPr>
              <w:t>Údaj o zápisu v ŽR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E7D6" w14:textId="50C5CF76" w:rsidR="00A4312E" w:rsidRDefault="0011025E" w:rsidP="002B24EA">
            <w:pPr>
              <w:snapToGrid w:val="0"/>
              <w:spacing w:line="360" w:lineRule="auto"/>
              <w:jc w:val="both"/>
            </w:pPr>
            <w:r w:rsidRPr="0011025E">
              <w:rPr>
                <w:sz w:val="24"/>
                <w:szCs w:val="24"/>
              </w:rPr>
              <w:t>Městský úřad Nymburk</w:t>
            </w:r>
          </w:p>
        </w:tc>
      </w:tr>
      <w:tr w:rsidR="00A4312E" w14:paraId="753F96DE" w14:textId="7777777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0B1F" w14:textId="77777777" w:rsidR="00A4312E" w:rsidRDefault="00A4312E">
            <w:pPr>
              <w:snapToGrid w:val="0"/>
              <w:spacing w:line="360" w:lineRule="auto"/>
            </w:pPr>
            <w:r>
              <w:rPr>
                <w:sz w:val="24"/>
                <w:szCs w:val="24"/>
              </w:rPr>
              <w:t>Bankovní spojení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4A19" w14:textId="4FB4C2D3" w:rsidR="00A4312E" w:rsidRDefault="00A4312E">
            <w:pPr>
              <w:snapToGrid w:val="0"/>
              <w:spacing w:line="360" w:lineRule="auto"/>
              <w:jc w:val="both"/>
            </w:pPr>
            <w:r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>Fio banka a.s.</w:t>
            </w:r>
            <w:r w:rsidRPr="00CA483C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>2400117792</w:t>
            </w:r>
            <w:r w:rsidR="002B24EA"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 xml:space="preserve"> </w:t>
            </w:r>
            <w:r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>/</w:t>
            </w:r>
            <w:r w:rsidR="002B24EA"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 xml:space="preserve"> </w:t>
            </w:r>
            <w:r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 xml:space="preserve">2010 </w:t>
            </w:r>
          </w:p>
        </w:tc>
      </w:tr>
    </w:tbl>
    <w:p w14:paraId="238BB12B" w14:textId="77777777" w:rsidR="00A4312E" w:rsidRDefault="00A4312E">
      <w:pPr>
        <w:spacing w:line="360" w:lineRule="auto"/>
        <w:jc w:val="center"/>
      </w:pPr>
    </w:p>
    <w:p w14:paraId="41189577" w14:textId="77777777" w:rsidR="00A4312E" w:rsidRDefault="00A4312E">
      <w:pPr>
        <w:spacing w:line="360" w:lineRule="auto"/>
        <w:jc w:val="center"/>
      </w:pPr>
      <w:r>
        <w:rPr>
          <w:b/>
          <w:sz w:val="24"/>
          <w:szCs w:val="24"/>
        </w:rPr>
        <w:t>jako poradcem na straně jedné,</w:t>
      </w:r>
    </w:p>
    <w:p w14:paraId="672ABDB6" w14:textId="77777777" w:rsidR="00A4312E" w:rsidRDefault="00A4312E">
      <w:pPr>
        <w:spacing w:line="360" w:lineRule="auto"/>
        <w:jc w:val="center"/>
      </w:pPr>
      <w:r>
        <w:rPr>
          <w:sz w:val="24"/>
          <w:szCs w:val="24"/>
        </w:rPr>
        <w:t>a</w:t>
      </w:r>
    </w:p>
    <w:p w14:paraId="6DBCD3E5" w14:textId="02DB1167" w:rsidR="00A4312E" w:rsidRDefault="00A4312E">
      <w:pPr>
        <w:tabs>
          <w:tab w:val="left" w:pos="11037"/>
        </w:tabs>
        <w:spacing w:line="360" w:lineRule="auto"/>
        <w:ind w:left="283" w:hanging="283"/>
        <w:jc w:val="both"/>
      </w:pPr>
      <w:r>
        <w:rPr>
          <w:b/>
          <w:sz w:val="24"/>
          <w:szCs w:val="24"/>
        </w:rPr>
        <w:t>klient</w:t>
      </w:r>
      <w:r w:rsidR="002B24EA">
        <w:rPr>
          <w:b/>
          <w:sz w:val="24"/>
          <w:szCs w:val="24"/>
        </w:rPr>
        <w:t>em</w:t>
      </w:r>
    </w:p>
    <w:tbl>
      <w:tblPr>
        <w:tblW w:w="0" w:type="auto"/>
        <w:tblInd w:w="-1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8196"/>
      </w:tblGrid>
      <w:tr w:rsidR="00A4312E" w14:paraId="77514DFD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9DDCC" w14:textId="77777777" w:rsidR="00A4312E" w:rsidRDefault="00A4312E">
            <w:pPr>
              <w:snapToGrid w:val="0"/>
              <w:spacing w:line="360" w:lineRule="auto"/>
            </w:pPr>
            <w:r>
              <w:rPr>
                <w:sz w:val="24"/>
                <w:szCs w:val="24"/>
              </w:rPr>
              <w:t>Obchodní firma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9A45" w14:textId="6A7A72E7" w:rsidR="00A4312E" w:rsidRPr="005D192E" w:rsidRDefault="0068022A">
            <w:pPr>
              <w:pStyle w:val="Pedformtovantext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2A">
              <w:rPr>
                <w:rFonts w:ascii="Times New Roman" w:hAnsi="Times New Roman" w:cs="Times New Roman"/>
                <w:sz w:val="24"/>
                <w:szCs w:val="24"/>
              </w:rPr>
              <w:t>Vodohospodářská a obchodní společnost, a.s.</w:t>
            </w:r>
          </w:p>
        </w:tc>
      </w:tr>
      <w:tr w:rsidR="00A4312E" w14:paraId="5E474A79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9D362" w14:textId="77777777" w:rsidR="00A4312E" w:rsidRDefault="00A4312E">
            <w:pPr>
              <w:snapToGrid w:val="0"/>
              <w:spacing w:line="360" w:lineRule="auto"/>
            </w:pPr>
            <w:r>
              <w:rPr>
                <w:sz w:val="24"/>
                <w:szCs w:val="24"/>
              </w:rPr>
              <w:t>Sídlo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EFC71" w14:textId="7697014C" w:rsidR="00A4312E" w:rsidRPr="00A26738" w:rsidRDefault="009B3558">
            <w:pPr>
              <w:pStyle w:val="Pedformtovantext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Na Tobolce 428, Holínské Předměstí, 506 01 Jičín</w:t>
            </w:r>
          </w:p>
        </w:tc>
      </w:tr>
      <w:tr w:rsidR="00A4312E" w14:paraId="45607805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0F279" w14:textId="77777777" w:rsidR="00A4312E" w:rsidRDefault="00A4312E">
            <w:pPr>
              <w:snapToGrid w:val="0"/>
              <w:spacing w:line="360" w:lineRule="auto"/>
            </w:pPr>
            <w:r>
              <w:rPr>
                <w:sz w:val="24"/>
                <w:szCs w:val="24"/>
              </w:rPr>
              <w:t>IČ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0916" w14:textId="1A19CAB4" w:rsidR="00A4312E" w:rsidRPr="00A26738" w:rsidRDefault="009B3558">
            <w:pPr>
              <w:pStyle w:val="Pedformtovantext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60109149</w:t>
            </w:r>
          </w:p>
        </w:tc>
      </w:tr>
      <w:tr w:rsidR="00A4312E" w14:paraId="40D24757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285E" w14:textId="77777777" w:rsidR="00A4312E" w:rsidRDefault="00A4312E">
            <w:pPr>
              <w:snapToGrid w:val="0"/>
              <w:spacing w:line="360" w:lineRule="auto"/>
            </w:pPr>
            <w:r>
              <w:rPr>
                <w:sz w:val="24"/>
                <w:szCs w:val="24"/>
              </w:rPr>
              <w:t>DIČ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5BBE" w14:textId="6A822C3C" w:rsidR="00A4312E" w:rsidRPr="00A26738" w:rsidRDefault="00A26738">
            <w:pPr>
              <w:pStyle w:val="Pedformtovantext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738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r w:rsidR="009B3558" w:rsidRPr="009B35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60109149</w:t>
            </w:r>
          </w:p>
        </w:tc>
      </w:tr>
      <w:tr w:rsidR="00A4312E" w14:paraId="6C5DE523" w14:textId="77777777">
        <w:trPr>
          <w:trHeight w:val="7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79ABD" w14:textId="77777777" w:rsidR="00A4312E" w:rsidRDefault="00A4312E">
            <w:pPr>
              <w:snapToGrid w:val="0"/>
              <w:spacing w:line="360" w:lineRule="auto"/>
            </w:pPr>
            <w:r w:rsidRPr="00B2744C">
              <w:rPr>
                <w:sz w:val="24"/>
                <w:szCs w:val="24"/>
              </w:rPr>
              <w:t>Statutární orgán jednající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1F19" w14:textId="29374C86" w:rsidR="00A4312E" w:rsidRPr="00A26738" w:rsidRDefault="000F6D3A" w:rsidP="002B24EA">
            <w:pPr>
              <w:pStyle w:val="Pedformtovantext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D3A">
              <w:rPr>
                <w:rFonts w:ascii="Times New Roman" w:hAnsi="Times New Roman" w:cs="Times New Roman"/>
                <w:sz w:val="24"/>
                <w:szCs w:val="24"/>
              </w:rPr>
              <w:t>JUDr. J</w:t>
            </w:r>
            <w:r w:rsidR="002B24EA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0F6D3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24EA">
              <w:rPr>
                <w:rFonts w:ascii="Times New Roman" w:hAnsi="Times New Roman" w:cs="Times New Roman"/>
                <w:sz w:val="24"/>
                <w:szCs w:val="24"/>
              </w:rPr>
              <w:t>alý</w:t>
            </w:r>
            <w:r w:rsidR="00B27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</w:t>
            </w:r>
            <w:r w:rsidR="00D401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dseda</w:t>
            </w:r>
            <w:r w:rsidR="00B2744C">
              <w:rPr>
                <w:rFonts w:ascii="Times New Roman" w:hAnsi="Times New Roman" w:cs="Times New Roman"/>
                <w:sz w:val="24"/>
                <w:szCs w:val="24"/>
              </w:rPr>
              <w:t xml:space="preserve"> představenstva</w:t>
            </w:r>
          </w:p>
        </w:tc>
      </w:tr>
      <w:tr w:rsidR="00A4312E" w14:paraId="31045006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C4E7F" w14:textId="77777777" w:rsidR="00A4312E" w:rsidRDefault="00A4312E">
            <w:pPr>
              <w:snapToGrid w:val="0"/>
              <w:spacing w:line="360" w:lineRule="auto"/>
            </w:pPr>
            <w:r>
              <w:rPr>
                <w:sz w:val="24"/>
                <w:szCs w:val="24"/>
              </w:rPr>
              <w:t>Údaj o zápisu v OR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55CC" w14:textId="33DE6477" w:rsidR="00A4312E" w:rsidRPr="00A26738" w:rsidRDefault="002B24EA" w:rsidP="002B24EA">
            <w:pPr>
              <w:pStyle w:val="Zkladntext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odd. </w:t>
            </w:r>
            <w:r w:rsidR="00107D7C" w:rsidRPr="00107D7C">
              <w:rPr>
                <w:color w:val="333333"/>
                <w:sz w:val="24"/>
                <w:szCs w:val="24"/>
                <w:shd w:val="clear" w:color="auto" w:fill="FFFFFF"/>
              </w:rPr>
              <w:t>B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vl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107D7C" w:rsidRPr="00107D7C">
              <w:rPr>
                <w:color w:val="333333"/>
                <w:sz w:val="24"/>
                <w:szCs w:val="24"/>
                <w:shd w:val="clear" w:color="auto" w:fill="FFFFFF"/>
              </w:rPr>
              <w:t>1045 vedená u Krajského soudu v Hradci Králové</w:t>
            </w:r>
          </w:p>
        </w:tc>
      </w:tr>
      <w:tr w:rsidR="00A4312E" w14:paraId="7EE26CA8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EB2A6" w14:textId="77777777" w:rsidR="00A4312E" w:rsidRDefault="00A4312E">
            <w:pPr>
              <w:snapToGrid w:val="0"/>
              <w:spacing w:line="360" w:lineRule="auto"/>
            </w:pPr>
            <w:r w:rsidRPr="00D72DA2">
              <w:rPr>
                <w:sz w:val="24"/>
                <w:szCs w:val="24"/>
              </w:rPr>
              <w:t>Bankovní spojení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542F" w14:textId="57B71879" w:rsidR="00A4312E" w:rsidRDefault="00A4312E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F6F6436" w14:textId="77777777" w:rsidR="00A4312E" w:rsidRDefault="00A4312E">
      <w:pPr>
        <w:spacing w:line="360" w:lineRule="auto"/>
        <w:jc w:val="center"/>
      </w:pPr>
    </w:p>
    <w:p w14:paraId="7F645D21" w14:textId="497F7BAF" w:rsidR="00A4312E" w:rsidRDefault="002B24EA">
      <w:pPr>
        <w:spacing w:line="360" w:lineRule="auto"/>
        <w:jc w:val="center"/>
      </w:pPr>
      <w:r>
        <w:rPr>
          <w:b/>
          <w:sz w:val="24"/>
          <w:szCs w:val="24"/>
        </w:rPr>
        <w:t>(dále též jen „</w:t>
      </w:r>
      <w:r w:rsidR="00A4312E">
        <w:rPr>
          <w:b/>
          <w:sz w:val="24"/>
          <w:szCs w:val="24"/>
        </w:rPr>
        <w:t>klient</w:t>
      </w:r>
      <w:r>
        <w:rPr>
          <w:b/>
          <w:sz w:val="24"/>
          <w:szCs w:val="24"/>
        </w:rPr>
        <w:t>“)</w:t>
      </w:r>
      <w:r w:rsidR="00A4312E">
        <w:rPr>
          <w:b/>
          <w:sz w:val="24"/>
          <w:szCs w:val="24"/>
        </w:rPr>
        <w:t xml:space="preserve"> na straně druhé,</w:t>
      </w:r>
    </w:p>
    <w:p w14:paraId="4855C24F" w14:textId="77777777" w:rsidR="00A4312E" w:rsidRDefault="00A4312E">
      <w:pPr>
        <w:spacing w:line="360" w:lineRule="auto"/>
        <w:jc w:val="center"/>
      </w:pPr>
      <w:r>
        <w:rPr>
          <w:sz w:val="24"/>
          <w:szCs w:val="24"/>
        </w:rPr>
        <w:t>kterou účastníci, po vzájemném ujištění, že jim není známo překážek,</w:t>
      </w:r>
    </w:p>
    <w:p w14:paraId="1D0C2C57" w14:textId="77777777" w:rsidR="00A4312E" w:rsidRDefault="00A4312E">
      <w:pPr>
        <w:spacing w:line="360" w:lineRule="auto"/>
        <w:jc w:val="center"/>
      </w:pPr>
      <w:r>
        <w:rPr>
          <w:sz w:val="24"/>
          <w:szCs w:val="24"/>
        </w:rPr>
        <w:t>které by uzavření smlouvy bránily,</w:t>
      </w:r>
    </w:p>
    <w:p w14:paraId="770DBEB3" w14:textId="77777777" w:rsidR="00A4312E" w:rsidRDefault="00A4312E">
      <w:pPr>
        <w:spacing w:line="360" w:lineRule="auto"/>
        <w:jc w:val="center"/>
      </w:pPr>
      <w:r>
        <w:rPr>
          <w:sz w:val="24"/>
          <w:szCs w:val="24"/>
        </w:rPr>
        <w:t>sjednali takto:</w:t>
      </w:r>
    </w:p>
    <w:p w14:paraId="6559C299" w14:textId="77777777" w:rsidR="00A4312E" w:rsidRDefault="00A4312E">
      <w:pPr>
        <w:spacing w:line="360" w:lineRule="auto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7"/>
        <w:gridCol w:w="9838"/>
      </w:tblGrid>
      <w:tr w:rsidR="00A4312E" w14:paraId="61B7A016" w14:textId="77777777">
        <w:tc>
          <w:tcPr>
            <w:tcW w:w="10205" w:type="dxa"/>
            <w:gridSpan w:val="2"/>
            <w:shd w:val="clear" w:color="auto" w:fill="auto"/>
          </w:tcPr>
          <w:p w14:paraId="3F8B653D" w14:textId="77777777" w:rsidR="00A4312E" w:rsidRDefault="00A4312E">
            <w:pPr>
              <w:snapToGrid w:val="0"/>
              <w:spacing w:line="360" w:lineRule="auto"/>
              <w:jc w:val="center"/>
            </w:pPr>
            <w:r>
              <w:rPr>
                <w:b/>
                <w:sz w:val="24"/>
                <w:szCs w:val="24"/>
                <w:u w:val="single"/>
              </w:rPr>
              <w:t>Článek I.</w:t>
            </w:r>
          </w:p>
        </w:tc>
      </w:tr>
      <w:tr w:rsidR="00A4312E" w14:paraId="6C294E3F" w14:textId="77777777">
        <w:tc>
          <w:tcPr>
            <w:tcW w:w="10205" w:type="dxa"/>
            <w:gridSpan w:val="2"/>
            <w:shd w:val="clear" w:color="auto" w:fill="auto"/>
          </w:tcPr>
          <w:p w14:paraId="5C855E68" w14:textId="516D8378" w:rsidR="00A4312E" w:rsidRDefault="00A4312E" w:rsidP="00F9318D">
            <w:pPr>
              <w:snapToGrid w:val="0"/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Poskytovatel je fyzická osoba, která je oprávněna provozovat podnikatelskou činnost spočívající v činnosti poradenství a konzultační činnosti, zpracování odborných studií a posudků, v oblasti </w:t>
            </w:r>
            <w:r w:rsidR="00FE3726">
              <w:rPr>
                <w:sz w:val="24"/>
                <w:szCs w:val="24"/>
              </w:rPr>
              <w:t>dopravy, nakládky</w:t>
            </w:r>
            <w:r>
              <w:rPr>
                <w:sz w:val="24"/>
                <w:szCs w:val="24"/>
              </w:rPr>
              <w:t xml:space="preserve">, balení, značení, plnění, odesílání a vykládky nebezpečných věcí. Tato činnost je zajišťována výhradně </w:t>
            </w:r>
            <w:r w:rsidR="002B24EA">
              <w:rPr>
                <w:sz w:val="24"/>
                <w:szCs w:val="24"/>
              </w:rPr>
              <w:t xml:space="preserve">(osobně) </w:t>
            </w:r>
            <w:r>
              <w:rPr>
                <w:sz w:val="24"/>
                <w:szCs w:val="24"/>
              </w:rPr>
              <w:t>prostřednictvím osoby poskytovatele, pokud nebude písemně dohodnuto jinak.</w:t>
            </w:r>
          </w:p>
          <w:p w14:paraId="2A6FF4A5" w14:textId="77777777" w:rsidR="00BD4C8E" w:rsidRPr="00572E8F" w:rsidRDefault="00BD4C8E" w:rsidP="00572E8F">
            <w:pPr>
              <w:spacing w:line="360" w:lineRule="auto"/>
              <w:jc w:val="both"/>
              <w:rPr>
                <w:sz w:val="24"/>
              </w:rPr>
            </w:pPr>
          </w:p>
          <w:p w14:paraId="0383A3A3" w14:textId="2632B17A" w:rsidR="00A4312E" w:rsidRDefault="00A4312E" w:rsidP="00572E8F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lastRenderedPageBreak/>
              <w:t>Poskytovatel, Ing. Tadeáš Narovec</w:t>
            </w:r>
            <w:r w:rsidR="00A267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DiS., je držitelem mezinárodně platného osvědčení č. 2092 o odborné způsobilosti bezpečnostního poradce pro přepravu nebezpečných věcí s platností do </w:t>
            </w:r>
            <w:r w:rsidR="0011025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.11.20</w:t>
            </w:r>
            <w:r w:rsidR="0011025E">
              <w:rPr>
                <w:sz w:val="24"/>
                <w:szCs w:val="24"/>
              </w:rPr>
              <w:t>2</w:t>
            </w:r>
            <w:r w:rsidR="002130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osvědčení č. 2132 o odborné způsobilosti bezpečnostního poradce pro přepravu nebezpečných věcí s platností do 1</w:t>
            </w:r>
            <w:r w:rsidR="001102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.6.20</w:t>
            </w:r>
            <w:r w:rsidR="0011025E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a osvědčení č. 2192 o odborné způsobilosti bezpečnostního poradce pro přepravu nebezpečných věcí s platností do 2</w:t>
            </w:r>
            <w:r w:rsidR="001102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.10.202</w:t>
            </w:r>
            <w:r w:rsidR="0011025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dle části 1 kapitoly 8 odst.3 přílohy A Dohody ADR, vyhlášené pro ČR ve Sbírce mezinárodních smluv pod č. 6/2002 dne 14. 2. 2002 ve znění pozdějších novelizací. Kopie osvědčení jsou připojeny jako příloha této smlouvy.</w:t>
            </w:r>
          </w:p>
        </w:tc>
      </w:tr>
      <w:tr w:rsidR="00A4312E" w14:paraId="32D1C082" w14:textId="77777777">
        <w:tc>
          <w:tcPr>
            <w:tcW w:w="10205" w:type="dxa"/>
            <w:gridSpan w:val="2"/>
            <w:shd w:val="clear" w:color="auto" w:fill="auto"/>
          </w:tcPr>
          <w:p w14:paraId="07ABC345" w14:textId="77777777" w:rsidR="003D2D90" w:rsidRDefault="003D2D90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36EF59F" w14:textId="77777777" w:rsidR="00A4312E" w:rsidRDefault="00A4312E">
            <w:pPr>
              <w:snapToGrid w:val="0"/>
              <w:spacing w:line="360" w:lineRule="auto"/>
              <w:jc w:val="center"/>
            </w:pPr>
            <w:r>
              <w:rPr>
                <w:b/>
                <w:sz w:val="24"/>
                <w:szCs w:val="24"/>
                <w:u w:val="single"/>
              </w:rPr>
              <w:t>Článek II.</w:t>
            </w:r>
          </w:p>
        </w:tc>
      </w:tr>
      <w:tr w:rsidR="00A4312E" w14:paraId="450131A8" w14:textId="77777777">
        <w:tc>
          <w:tcPr>
            <w:tcW w:w="10205" w:type="dxa"/>
            <w:gridSpan w:val="2"/>
            <w:shd w:val="clear" w:color="auto" w:fill="auto"/>
          </w:tcPr>
          <w:p w14:paraId="33D31CB6" w14:textId="5BDABE55" w:rsidR="00A4312E" w:rsidRDefault="00A4312E" w:rsidP="00572E8F">
            <w:pPr>
              <w:snapToGrid w:val="0"/>
              <w:spacing w:line="360" w:lineRule="auto"/>
            </w:pPr>
            <w:r>
              <w:rPr>
                <w:sz w:val="24"/>
                <w:szCs w:val="24"/>
              </w:rPr>
              <w:t xml:space="preserve">Poskytovatel se zavazuje </w:t>
            </w:r>
            <w:r w:rsidR="00BB39C5" w:rsidRPr="00B53425">
              <w:rPr>
                <w:sz w:val="24"/>
                <w:szCs w:val="24"/>
              </w:rPr>
              <w:t xml:space="preserve">vykonávat </w:t>
            </w:r>
            <w:r w:rsidR="00BB39C5">
              <w:rPr>
                <w:sz w:val="24"/>
                <w:szCs w:val="24"/>
              </w:rPr>
              <w:t xml:space="preserve">pro klienta </w:t>
            </w:r>
            <w:r w:rsidR="00BB39C5" w:rsidRPr="001009B1">
              <w:rPr>
                <w:sz w:val="24"/>
                <w:szCs w:val="24"/>
              </w:rPr>
              <w:t>funkc</w:t>
            </w:r>
            <w:r w:rsidR="00BB39C5">
              <w:rPr>
                <w:sz w:val="24"/>
                <w:szCs w:val="24"/>
              </w:rPr>
              <w:t>i</w:t>
            </w:r>
            <w:r w:rsidR="00BB39C5" w:rsidRPr="001009B1">
              <w:rPr>
                <w:sz w:val="24"/>
                <w:szCs w:val="24"/>
              </w:rPr>
              <w:t xml:space="preserve"> bezpečnostního poradce </w:t>
            </w:r>
            <w:r w:rsidR="00BB39C5" w:rsidRPr="00B53425">
              <w:rPr>
                <w:sz w:val="24"/>
                <w:szCs w:val="24"/>
              </w:rPr>
              <w:t xml:space="preserve">pro </w:t>
            </w:r>
            <w:r w:rsidR="00BB39C5">
              <w:rPr>
                <w:sz w:val="24"/>
                <w:szCs w:val="24"/>
              </w:rPr>
              <w:t>přepravu</w:t>
            </w:r>
            <w:r w:rsidR="00B52D1E">
              <w:rPr>
                <w:sz w:val="24"/>
                <w:szCs w:val="24"/>
              </w:rPr>
              <w:t xml:space="preserve"> </w:t>
            </w:r>
            <w:r w:rsidR="00BB39C5" w:rsidRPr="00B53425">
              <w:rPr>
                <w:sz w:val="24"/>
                <w:szCs w:val="24"/>
              </w:rPr>
              <w:t>nebezpečných věcí</w:t>
            </w:r>
            <w:r w:rsidR="00BB39C5">
              <w:rPr>
                <w:sz w:val="24"/>
                <w:szCs w:val="24"/>
              </w:rPr>
              <w:t xml:space="preserve"> dle Evropské dohody ADR </w:t>
            </w:r>
            <w:r w:rsidR="00BB39C5" w:rsidRPr="00B53425">
              <w:rPr>
                <w:sz w:val="24"/>
                <w:szCs w:val="24"/>
              </w:rPr>
              <w:t xml:space="preserve">a § 23 </w:t>
            </w:r>
            <w:r w:rsidR="00BB39C5">
              <w:rPr>
                <w:sz w:val="24"/>
                <w:szCs w:val="24"/>
              </w:rPr>
              <w:t xml:space="preserve">odst. 2 </w:t>
            </w:r>
            <w:r w:rsidR="00BB39C5" w:rsidRPr="00B53425">
              <w:rPr>
                <w:sz w:val="24"/>
                <w:szCs w:val="24"/>
              </w:rPr>
              <w:t xml:space="preserve">písm. </w:t>
            </w:r>
            <w:r w:rsidR="00BB39C5">
              <w:rPr>
                <w:sz w:val="24"/>
                <w:szCs w:val="24"/>
              </w:rPr>
              <w:t xml:space="preserve">m) </w:t>
            </w:r>
            <w:r w:rsidR="00BB39C5" w:rsidRPr="00B53425">
              <w:rPr>
                <w:sz w:val="24"/>
                <w:szCs w:val="24"/>
              </w:rPr>
              <w:t>zákona č. 111/1994 Sb.</w:t>
            </w:r>
            <w:r w:rsidR="00BB39C5">
              <w:rPr>
                <w:sz w:val="24"/>
                <w:szCs w:val="24"/>
              </w:rPr>
              <w:t xml:space="preserve">, ve znění pozdějších předpisů, a to v dále uvedeném rozsahu, a </w:t>
            </w:r>
            <w:r>
              <w:rPr>
                <w:sz w:val="24"/>
                <w:szCs w:val="24"/>
              </w:rPr>
              <w:t xml:space="preserve">poskytovat klientovi </w:t>
            </w:r>
            <w:r w:rsidR="00BD4C8E">
              <w:rPr>
                <w:sz w:val="24"/>
                <w:szCs w:val="24"/>
              </w:rPr>
              <w:t xml:space="preserve">komplexní </w:t>
            </w:r>
            <w:r>
              <w:rPr>
                <w:sz w:val="24"/>
                <w:szCs w:val="24"/>
              </w:rPr>
              <w:t>služby</w:t>
            </w:r>
            <w:r w:rsidR="00BB39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vyplývající z bodu 1.8.3.3 ADR</w:t>
            </w:r>
            <w:r w:rsidR="00BD4C8E">
              <w:rPr>
                <w:sz w:val="24"/>
                <w:szCs w:val="24"/>
              </w:rPr>
              <w:t>, a to především těchto</w:t>
            </w:r>
            <w:r>
              <w:rPr>
                <w:sz w:val="24"/>
                <w:szCs w:val="24"/>
              </w:rPr>
              <w:t>:</w:t>
            </w:r>
          </w:p>
        </w:tc>
      </w:tr>
      <w:tr w:rsidR="00A4312E" w14:paraId="43D82837" w14:textId="77777777">
        <w:tc>
          <w:tcPr>
            <w:tcW w:w="367" w:type="dxa"/>
            <w:shd w:val="clear" w:color="auto" w:fill="auto"/>
          </w:tcPr>
          <w:p w14:paraId="59DAD511" w14:textId="77777777" w:rsidR="00A4312E" w:rsidRDefault="00A4312E">
            <w:pPr>
              <w:pStyle w:val="Obsahtabulky"/>
              <w:snapToGrid w:val="0"/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9838" w:type="dxa"/>
            <w:shd w:val="clear" w:color="auto" w:fill="auto"/>
          </w:tcPr>
          <w:p w14:paraId="3B2CE19D" w14:textId="77777777" w:rsidR="00A4312E" w:rsidRDefault="00A4312E">
            <w:pPr>
              <w:snapToGrid w:val="0"/>
              <w:spacing w:line="360" w:lineRule="auto"/>
              <w:jc w:val="both"/>
            </w:pPr>
            <w:r>
              <w:rPr>
                <w:sz w:val="24"/>
                <w:szCs w:val="24"/>
              </w:rPr>
              <w:t>kontrola dodržování předpisů pro silniční přepravu nebezpečných věcí a předpisů, týkajících se operací balení, nakládky, plnění nebo vykládky souvisejících s přepravou nebezpečných věcí klientem a jeho zaměstnanci,</w:t>
            </w:r>
          </w:p>
        </w:tc>
      </w:tr>
      <w:tr w:rsidR="00A4312E" w14:paraId="67800CF4" w14:textId="77777777">
        <w:tc>
          <w:tcPr>
            <w:tcW w:w="367" w:type="dxa"/>
            <w:shd w:val="clear" w:color="auto" w:fill="auto"/>
          </w:tcPr>
          <w:p w14:paraId="568B9A33" w14:textId="77777777" w:rsidR="00A4312E" w:rsidRDefault="00A4312E">
            <w:pPr>
              <w:pStyle w:val="Obsahtabulky"/>
              <w:snapToGrid w:val="0"/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9838" w:type="dxa"/>
            <w:shd w:val="clear" w:color="auto" w:fill="auto"/>
          </w:tcPr>
          <w:p w14:paraId="44A776A9" w14:textId="77777777" w:rsidR="00A4312E" w:rsidRDefault="00A4312E">
            <w:pPr>
              <w:snapToGrid w:val="0"/>
              <w:spacing w:line="360" w:lineRule="auto"/>
              <w:jc w:val="both"/>
            </w:pPr>
            <w:r>
              <w:rPr>
                <w:sz w:val="24"/>
                <w:szCs w:val="24"/>
              </w:rPr>
              <w:t>poradenství při operacích souvisejících se silniční přepravou, balením, nakládáním, plněním nebo vykládkou nebezpečných věcí,</w:t>
            </w:r>
          </w:p>
        </w:tc>
      </w:tr>
      <w:tr w:rsidR="00A4312E" w14:paraId="42C38870" w14:textId="77777777">
        <w:tc>
          <w:tcPr>
            <w:tcW w:w="367" w:type="dxa"/>
            <w:shd w:val="clear" w:color="auto" w:fill="auto"/>
          </w:tcPr>
          <w:p w14:paraId="367DEB7F" w14:textId="77777777" w:rsidR="00A4312E" w:rsidRDefault="00A4312E">
            <w:pPr>
              <w:pStyle w:val="Obsahtabulky"/>
              <w:snapToGrid w:val="0"/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9838" w:type="dxa"/>
            <w:shd w:val="clear" w:color="auto" w:fill="auto"/>
          </w:tcPr>
          <w:p w14:paraId="17C02E79" w14:textId="71C499CB" w:rsidR="00904D43" w:rsidRPr="00904D43" w:rsidRDefault="00A4312E" w:rsidP="00904D43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příprava výroční zprávy pro vedení klienta, týkající se aktivit klienta při silniční přepravě, balení, nakládce, plnění a vykládce nebezpečných věcí</w:t>
            </w:r>
            <w:r w:rsidR="00BD4C8E">
              <w:rPr>
                <w:sz w:val="24"/>
                <w:szCs w:val="24"/>
              </w:rPr>
              <w:t>,</w:t>
            </w:r>
          </w:p>
        </w:tc>
      </w:tr>
      <w:tr w:rsidR="00904D43" w:rsidRPr="00904D43" w14:paraId="057E24A9" w14:textId="77777777" w:rsidTr="00904D43">
        <w:tc>
          <w:tcPr>
            <w:tcW w:w="367" w:type="dxa"/>
            <w:shd w:val="clear" w:color="auto" w:fill="auto"/>
          </w:tcPr>
          <w:p w14:paraId="6255F82B" w14:textId="77777777" w:rsidR="00904D43" w:rsidRPr="00904D43" w:rsidRDefault="00904D43" w:rsidP="00A4312E">
            <w:pPr>
              <w:pStyle w:val="Obsahtabulky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9838" w:type="dxa"/>
            <w:shd w:val="clear" w:color="auto" w:fill="auto"/>
          </w:tcPr>
          <w:p w14:paraId="171E6E67" w14:textId="132D8AA5" w:rsidR="00904D43" w:rsidRPr="00904D43" w:rsidRDefault="00904D43" w:rsidP="00572E8F">
            <w:pPr>
              <w:tabs>
                <w:tab w:val="left" w:pos="6105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školení osob podílející se na přepravě nebezpečných věc</w:t>
            </w:r>
            <w:r w:rsidR="00854046">
              <w:rPr>
                <w:sz w:val="24"/>
                <w:szCs w:val="24"/>
              </w:rPr>
              <w:t>í</w:t>
            </w:r>
            <w:r w:rsidR="00BD4C8E">
              <w:rPr>
                <w:sz w:val="24"/>
                <w:szCs w:val="24"/>
              </w:rPr>
              <w:t>.</w:t>
            </w:r>
            <w:r w:rsidR="00BD4C8E">
              <w:rPr>
                <w:sz w:val="24"/>
                <w:szCs w:val="24"/>
              </w:rPr>
              <w:tab/>
            </w:r>
          </w:p>
        </w:tc>
      </w:tr>
    </w:tbl>
    <w:p w14:paraId="2409359C" w14:textId="77777777" w:rsidR="00BD4C8E" w:rsidRDefault="00BD4C8E">
      <w:pPr>
        <w:spacing w:line="360" w:lineRule="auto"/>
        <w:rPr>
          <w:sz w:val="24"/>
          <w:szCs w:val="24"/>
        </w:rPr>
      </w:pPr>
    </w:p>
    <w:p w14:paraId="5351268F" w14:textId="1E4CF590" w:rsidR="00BB39C5" w:rsidRDefault="00BB39C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Poskytovatel se </w:t>
      </w:r>
      <w:r w:rsidRPr="00B53425">
        <w:rPr>
          <w:sz w:val="24"/>
          <w:szCs w:val="24"/>
        </w:rPr>
        <w:t xml:space="preserve">zavazuje </w:t>
      </w:r>
      <w:r>
        <w:rPr>
          <w:sz w:val="24"/>
          <w:szCs w:val="24"/>
        </w:rPr>
        <w:t xml:space="preserve">řádně, na vlastní odpovědnost, odborně a v odpovídajícím rozsahu </w:t>
      </w:r>
      <w:r w:rsidRPr="00B53425">
        <w:rPr>
          <w:sz w:val="24"/>
          <w:szCs w:val="24"/>
        </w:rPr>
        <w:t xml:space="preserve">vykonávat </w:t>
      </w:r>
      <w:r>
        <w:rPr>
          <w:sz w:val="24"/>
          <w:szCs w:val="24"/>
        </w:rPr>
        <w:t xml:space="preserve">veškeré </w:t>
      </w:r>
      <w:r w:rsidRPr="00B53425">
        <w:rPr>
          <w:sz w:val="24"/>
          <w:szCs w:val="24"/>
        </w:rPr>
        <w:t xml:space="preserve">povinnosti bezpečnostního poradce pro přepravu nebezpečných věcí ADR tak, aby </w:t>
      </w:r>
      <w:r>
        <w:rPr>
          <w:sz w:val="24"/>
          <w:szCs w:val="24"/>
        </w:rPr>
        <w:t>doprava nebezpečných věcí klientem b</w:t>
      </w:r>
      <w:r w:rsidRPr="00B53425">
        <w:rPr>
          <w:sz w:val="24"/>
          <w:szCs w:val="24"/>
        </w:rPr>
        <w:t>yla prováděna v souladu s dohodou ADR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lang w:eastAsia="cs-CZ"/>
        </w:rPr>
        <w:t xml:space="preserve">posouzení vhodnosti a dostatečnosti rozsahu činnosti </w:t>
      </w:r>
      <w:r w:rsidRPr="00B53425">
        <w:rPr>
          <w:sz w:val="24"/>
          <w:szCs w:val="24"/>
        </w:rPr>
        <w:t xml:space="preserve">bezpečnostního poradce </w:t>
      </w:r>
      <w:r>
        <w:rPr>
          <w:sz w:val="24"/>
          <w:szCs w:val="24"/>
          <w:lang w:eastAsia="cs-CZ"/>
        </w:rPr>
        <w:t>se považuje za součást služeb, poskytovaných poskytovatelem dle této smlouvy</w:t>
      </w:r>
      <w:r>
        <w:rPr>
          <w:sz w:val="24"/>
          <w:szCs w:val="24"/>
        </w:rPr>
        <w:t xml:space="preserve">. Poskytovatel je povinen </w:t>
      </w:r>
      <w:r>
        <w:rPr>
          <w:sz w:val="24"/>
          <w:szCs w:val="24"/>
          <w:lang w:eastAsia="cs-CZ"/>
        </w:rPr>
        <w:t>zachovávat mlčenlivost o všech skutečnostech, se kterými přijde poskytovatel při plnění závazků z této smlouvy vyplývajících do styku, ať již budou poskytovateli kýmkoli sděleny anebo je poskytovatel získá vlastním zjištěním, a to po dobu 2 let po skončení této smlouvy, a to pod smluvní pokutou ve výši Kč 500</w:t>
      </w:r>
      <w:r w:rsidR="00BD4C8E">
        <w:rPr>
          <w:sz w:val="24"/>
          <w:szCs w:val="24"/>
          <w:lang w:eastAsia="cs-CZ"/>
        </w:rPr>
        <w:t>.</w:t>
      </w:r>
      <w:r>
        <w:rPr>
          <w:sz w:val="24"/>
          <w:szCs w:val="24"/>
          <w:lang w:eastAsia="cs-CZ"/>
        </w:rPr>
        <w:t>000,- za každý případ porušení.</w:t>
      </w:r>
    </w:p>
    <w:p w14:paraId="6B411A82" w14:textId="77777777" w:rsidR="00BB39C5" w:rsidRDefault="00BB39C5">
      <w:pPr>
        <w:spacing w:line="360" w:lineRule="auto"/>
      </w:pPr>
    </w:p>
    <w:p w14:paraId="105A6915" w14:textId="77777777" w:rsidR="00BD4C8E" w:rsidRDefault="00BD4C8E">
      <w:pPr>
        <w:spacing w:line="360" w:lineRule="auto"/>
      </w:pPr>
    </w:p>
    <w:p w14:paraId="777E0213" w14:textId="77777777" w:rsidR="00BD4C8E" w:rsidRDefault="00BD4C8E">
      <w:pPr>
        <w:spacing w:line="360" w:lineRule="auto"/>
      </w:pPr>
    </w:p>
    <w:p w14:paraId="38227CA1" w14:textId="77777777" w:rsidR="00BD4C8E" w:rsidRPr="00572E8F" w:rsidRDefault="00BD4C8E">
      <w:pPr>
        <w:spacing w:line="360" w:lineRule="auto"/>
      </w:pPr>
    </w:p>
    <w:p w14:paraId="1E13EB5B" w14:textId="77777777" w:rsidR="00BD4C8E" w:rsidRDefault="00BD4C8E">
      <w:pPr>
        <w:spacing w:line="360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5"/>
      </w:tblGrid>
      <w:tr w:rsidR="00A4312E" w14:paraId="700ED9A9" w14:textId="77777777">
        <w:tc>
          <w:tcPr>
            <w:tcW w:w="10205" w:type="dxa"/>
            <w:shd w:val="clear" w:color="auto" w:fill="auto"/>
          </w:tcPr>
          <w:p w14:paraId="3BA2CFE8" w14:textId="77777777" w:rsidR="00A4312E" w:rsidRDefault="00A4312E">
            <w:pPr>
              <w:snapToGrid w:val="0"/>
              <w:spacing w:line="360" w:lineRule="auto"/>
              <w:ind w:firstLine="170"/>
              <w:jc w:val="center"/>
            </w:pPr>
            <w:r>
              <w:rPr>
                <w:b/>
                <w:sz w:val="24"/>
                <w:szCs w:val="24"/>
                <w:u w:val="single"/>
              </w:rPr>
              <w:t>Článek III.</w:t>
            </w:r>
          </w:p>
        </w:tc>
      </w:tr>
      <w:tr w:rsidR="00A4312E" w14:paraId="6AF8E39D" w14:textId="77777777">
        <w:tc>
          <w:tcPr>
            <w:tcW w:w="10205" w:type="dxa"/>
            <w:shd w:val="clear" w:color="auto" w:fill="auto"/>
          </w:tcPr>
          <w:p w14:paraId="04C11532" w14:textId="77777777" w:rsidR="00A4312E" w:rsidRDefault="00A4312E" w:rsidP="00572E8F">
            <w:pPr>
              <w:snapToGrid w:val="0"/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Kontrolní činnost dle čl. II, bod 1) smlouvy bude uskutečňována osobní kontrolou provedenou poskytovatelem u klienta, a to nejméně 1x ročně v kalendářním roce. Pokud nebude termín kontroly dohodnut jinak, je poskytovatel povinen oznámit provedení kontroly klientovi písemně nejméně jeden měsíc předem a současně je povinen označit </w:t>
            </w:r>
            <w:r w:rsidR="00BB39C5">
              <w:rPr>
                <w:sz w:val="24"/>
                <w:szCs w:val="24"/>
              </w:rPr>
              <w:t xml:space="preserve">relevantní </w:t>
            </w:r>
            <w:r>
              <w:rPr>
                <w:sz w:val="24"/>
                <w:szCs w:val="24"/>
              </w:rPr>
              <w:t xml:space="preserve">skutečnosti, materiály a dokumenty, se kterými se chce při kontrole seznámit. Klient je povinen těmto požadavkům poskytovatele </w:t>
            </w:r>
            <w:r w:rsidR="00BB39C5">
              <w:rPr>
                <w:sz w:val="24"/>
                <w:szCs w:val="24"/>
              </w:rPr>
              <w:t xml:space="preserve">v rámci součinnosti </w:t>
            </w:r>
            <w:r>
              <w:rPr>
                <w:sz w:val="24"/>
                <w:szCs w:val="24"/>
              </w:rPr>
              <w:t>vyhovět. Vyhodnocení zjištěného stavu se uskuteční podáním písemné zprávy o výsledcích kontroly, kterou poskytovatel doručí klientovi nejpozději do 1 měsíce ode dne kontroly.</w:t>
            </w:r>
          </w:p>
          <w:p w14:paraId="7D38C4BE" w14:textId="77777777" w:rsidR="00BD4C8E" w:rsidRDefault="00BD4C8E" w:rsidP="00F9318D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7E56C8BF" w14:textId="09754FAF" w:rsidR="00A4312E" w:rsidRDefault="00A4312E" w:rsidP="00572E8F">
            <w:pPr>
              <w:snapToGrid w:val="0"/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Poradenství dle čl. II, bod 2) </w:t>
            </w:r>
            <w:r w:rsidR="00BD4C8E">
              <w:rPr>
                <w:sz w:val="24"/>
                <w:szCs w:val="24"/>
              </w:rPr>
              <w:t>bude</w:t>
            </w:r>
            <w:r>
              <w:rPr>
                <w:sz w:val="24"/>
                <w:szCs w:val="24"/>
              </w:rPr>
              <w:t xml:space="preserve"> poskytováno osobně při kontrolní činnosti nebo na dálku běžnými komunikačními prostředky jako je telefon, elektronická pošta případně listovní pošta.</w:t>
            </w:r>
          </w:p>
          <w:p w14:paraId="2A1BD458" w14:textId="77777777" w:rsidR="00BD4C8E" w:rsidRDefault="00BD4C8E" w:rsidP="00F931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2604052" w14:textId="77777777" w:rsidR="00A4312E" w:rsidRDefault="002D2A48" w:rsidP="00572E8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Řádnou v</w:t>
            </w:r>
            <w:r w:rsidR="00A4312E">
              <w:rPr>
                <w:sz w:val="24"/>
                <w:szCs w:val="24"/>
              </w:rPr>
              <w:t>ýroční zpráv</w:t>
            </w:r>
            <w:r>
              <w:rPr>
                <w:sz w:val="24"/>
                <w:szCs w:val="24"/>
              </w:rPr>
              <w:t>u</w:t>
            </w:r>
            <w:r w:rsidR="00A4312E">
              <w:rPr>
                <w:sz w:val="24"/>
                <w:szCs w:val="24"/>
              </w:rPr>
              <w:t xml:space="preserve"> pro vedení klienta, týkající se aktivit klienta při silniční přepravě, balení, nakládce, plnění a vykládce nebezpečných věcí dle čl. II, bod 3)</w:t>
            </w:r>
            <w:r>
              <w:rPr>
                <w:sz w:val="24"/>
                <w:szCs w:val="24"/>
              </w:rPr>
              <w:t xml:space="preserve">, je poskytovatel připraven sestavit a klientovi předat v </w:t>
            </w:r>
            <w:r w:rsidR="00A4312E">
              <w:rPr>
                <w:sz w:val="24"/>
                <w:szCs w:val="24"/>
              </w:rPr>
              <w:t xml:space="preserve">písemné </w:t>
            </w:r>
            <w:r>
              <w:rPr>
                <w:sz w:val="24"/>
                <w:szCs w:val="24"/>
              </w:rPr>
              <w:t xml:space="preserve">formě ve lhůtě </w:t>
            </w:r>
            <w:r w:rsidR="00A4312E">
              <w:rPr>
                <w:sz w:val="24"/>
                <w:szCs w:val="24"/>
              </w:rPr>
              <w:t>do tří měsíců po ukončení kalendářního roku. Klient je povinen předat požadované podklady pro sestavení výroční zprávy nejpozději do jednoho měsíce po ukončení kalendářního roku.</w:t>
            </w:r>
          </w:p>
          <w:p w14:paraId="08ADFF0D" w14:textId="4C404A46" w:rsidR="00BD4C8E" w:rsidRDefault="00BD4C8E" w:rsidP="00F931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1906A39" w14:textId="5E58A925" w:rsidR="00636101" w:rsidRDefault="00BD4C8E" w:rsidP="00572E8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Smluvní strany sjednávají, že f</w:t>
            </w:r>
            <w:r w:rsidR="00636101" w:rsidRPr="001009B1">
              <w:rPr>
                <w:sz w:val="24"/>
                <w:szCs w:val="24"/>
              </w:rPr>
              <w:t>unk</w:t>
            </w:r>
            <w:r w:rsidR="00636101">
              <w:rPr>
                <w:sz w:val="24"/>
                <w:szCs w:val="24"/>
              </w:rPr>
              <w:t>ce</w:t>
            </w:r>
            <w:r w:rsidR="00636101" w:rsidRPr="001009B1">
              <w:rPr>
                <w:sz w:val="24"/>
                <w:szCs w:val="24"/>
              </w:rPr>
              <w:t xml:space="preserve"> bezpečnostního poradce</w:t>
            </w:r>
            <w:r w:rsidR="00636101">
              <w:rPr>
                <w:sz w:val="24"/>
                <w:szCs w:val="24"/>
              </w:rPr>
              <w:t xml:space="preserve"> dále zahrnuje </w:t>
            </w:r>
            <w:r>
              <w:rPr>
                <w:sz w:val="24"/>
                <w:szCs w:val="24"/>
              </w:rPr>
              <w:t>tyto činnosti poskytovatele:</w:t>
            </w:r>
          </w:p>
          <w:p w14:paraId="3C47DDC8" w14:textId="596E476E" w:rsidR="00636101" w:rsidRDefault="00636101" w:rsidP="00AB0AE9">
            <w:pPr>
              <w:numPr>
                <w:ilvl w:val="0"/>
                <w:numId w:val="3"/>
              </w:numPr>
              <w:spacing w:line="360" w:lineRule="auto"/>
              <w:ind w:left="890" w:hanging="360"/>
              <w:jc w:val="both"/>
              <w:rPr>
                <w:sz w:val="24"/>
                <w:szCs w:val="24"/>
              </w:rPr>
            </w:pPr>
            <w:r w:rsidRPr="00636101">
              <w:rPr>
                <w:sz w:val="24"/>
                <w:szCs w:val="24"/>
              </w:rPr>
              <w:t xml:space="preserve">analýzu skutečného stavu </w:t>
            </w:r>
            <w:r>
              <w:rPr>
                <w:sz w:val="24"/>
                <w:szCs w:val="24"/>
              </w:rPr>
              <w:t>klienta</w:t>
            </w:r>
            <w:r w:rsidRPr="00636101">
              <w:rPr>
                <w:sz w:val="24"/>
                <w:szCs w:val="24"/>
              </w:rPr>
              <w:t xml:space="preserve"> (úvodní audit), včetně doporučení změn oproti stávajícímu stavu</w:t>
            </w:r>
            <w:r w:rsidR="00BD4C8E">
              <w:rPr>
                <w:sz w:val="24"/>
                <w:szCs w:val="24"/>
              </w:rPr>
              <w:t xml:space="preserve"> (poskytovatel je povinen tento úvodní audit zpracovat do 3 měsíců od uzavření této smlouvy)</w:t>
            </w:r>
            <w:r w:rsidRPr="00636101">
              <w:rPr>
                <w:sz w:val="24"/>
                <w:szCs w:val="24"/>
              </w:rPr>
              <w:t>,</w:t>
            </w:r>
          </w:p>
          <w:p w14:paraId="2C1409AA" w14:textId="77777777" w:rsidR="00636101" w:rsidRDefault="00636101" w:rsidP="00AB0AE9">
            <w:pPr>
              <w:numPr>
                <w:ilvl w:val="0"/>
                <w:numId w:val="3"/>
              </w:numPr>
              <w:spacing w:line="360" w:lineRule="auto"/>
              <w:ind w:left="890" w:hanging="360"/>
              <w:jc w:val="both"/>
              <w:rPr>
                <w:sz w:val="24"/>
                <w:szCs w:val="24"/>
              </w:rPr>
            </w:pPr>
            <w:r w:rsidRPr="00636101">
              <w:rPr>
                <w:sz w:val="24"/>
                <w:szCs w:val="24"/>
              </w:rPr>
              <w:t xml:space="preserve">zpracování povinné výroční zprávy pro vedení podniku </w:t>
            </w:r>
            <w:r>
              <w:rPr>
                <w:sz w:val="24"/>
                <w:szCs w:val="24"/>
              </w:rPr>
              <w:t>klienta</w:t>
            </w:r>
            <w:r w:rsidRPr="00636101">
              <w:rPr>
                <w:sz w:val="24"/>
                <w:szCs w:val="24"/>
              </w:rPr>
              <w:t xml:space="preserve"> a dotčené orgány veřejné a státní správy,</w:t>
            </w:r>
          </w:p>
          <w:p w14:paraId="17C38797" w14:textId="77777777" w:rsidR="00636101" w:rsidRDefault="00636101" w:rsidP="00AB0AE9">
            <w:pPr>
              <w:numPr>
                <w:ilvl w:val="0"/>
                <w:numId w:val="3"/>
              </w:numPr>
              <w:spacing w:line="360" w:lineRule="auto"/>
              <w:ind w:left="890" w:hanging="360"/>
              <w:jc w:val="both"/>
              <w:rPr>
                <w:sz w:val="24"/>
                <w:szCs w:val="24"/>
              </w:rPr>
            </w:pPr>
            <w:r w:rsidRPr="00636101">
              <w:rPr>
                <w:sz w:val="24"/>
                <w:szCs w:val="24"/>
              </w:rPr>
              <w:t>informační a poradenský servis po telefonu příp. emailem (2 hod. měsíčně),</w:t>
            </w:r>
          </w:p>
          <w:p w14:paraId="4335749C" w14:textId="090E8170" w:rsidR="00636101" w:rsidRDefault="00636101" w:rsidP="00AB0AE9">
            <w:pPr>
              <w:numPr>
                <w:ilvl w:val="0"/>
                <w:numId w:val="3"/>
              </w:numPr>
              <w:spacing w:line="360" w:lineRule="auto"/>
              <w:ind w:left="890" w:hanging="360"/>
              <w:jc w:val="both"/>
              <w:rPr>
                <w:sz w:val="24"/>
                <w:szCs w:val="24"/>
              </w:rPr>
            </w:pPr>
            <w:r w:rsidRPr="00636101">
              <w:rPr>
                <w:sz w:val="24"/>
                <w:szCs w:val="24"/>
              </w:rPr>
              <w:t>kontrolní audit,</w:t>
            </w:r>
          </w:p>
          <w:p w14:paraId="74C76CD2" w14:textId="76B7254B" w:rsidR="00636101" w:rsidRPr="00854046" w:rsidRDefault="00636101" w:rsidP="00854046">
            <w:pPr>
              <w:numPr>
                <w:ilvl w:val="0"/>
                <w:numId w:val="3"/>
              </w:numPr>
              <w:spacing w:line="360" w:lineRule="auto"/>
              <w:ind w:left="890" w:hanging="360"/>
              <w:jc w:val="both"/>
              <w:rPr>
                <w:sz w:val="24"/>
                <w:szCs w:val="24"/>
              </w:rPr>
            </w:pPr>
            <w:r w:rsidRPr="00F9318D">
              <w:rPr>
                <w:sz w:val="24"/>
                <w:szCs w:val="24"/>
              </w:rPr>
              <w:t xml:space="preserve">zpracování </w:t>
            </w:r>
            <w:r w:rsidR="00854046" w:rsidRPr="00F9318D">
              <w:rPr>
                <w:sz w:val="24"/>
                <w:szCs w:val="24"/>
              </w:rPr>
              <w:t xml:space="preserve">nebo aktualizace </w:t>
            </w:r>
            <w:r w:rsidRPr="00F9318D">
              <w:rPr>
                <w:sz w:val="24"/>
                <w:szCs w:val="24"/>
              </w:rPr>
              <w:t>firemní směrnice ADR</w:t>
            </w:r>
            <w:r w:rsidR="00854046" w:rsidRPr="00F9318D">
              <w:rPr>
                <w:sz w:val="24"/>
                <w:szCs w:val="24"/>
              </w:rPr>
              <w:t xml:space="preserve"> (poskytovatel je povinen t</w:t>
            </w:r>
            <w:r w:rsidR="00854046" w:rsidRPr="00854046">
              <w:rPr>
                <w:sz w:val="24"/>
                <w:szCs w:val="24"/>
              </w:rPr>
              <w:t xml:space="preserve">uto činnost provést </w:t>
            </w:r>
            <w:r w:rsidR="00854046" w:rsidRPr="00F9318D">
              <w:rPr>
                <w:sz w:val="24"/>
                <w:szCs w:val="24"/>
              </w:rPr>
              <w:t xml:space="preserve">do </w:t>
            </w:r>
            <w:r w:rsidR="00854046" w:rsidRPr="00854046">
              <w:rPr>
                <w:sz w:val="24"/>
                <w:szCs w:val="24"/>
              </w:rPr>
              <w:t>1</w:t>
            </w:r>
            <w:r w:rsidR="00854046" w:rsidRPr="00F9318D">
              <w:rPr>
                <w:sz w:val="24"/>
                <w:szCs w:val="24"/>
              </w:rPr>
              <w:t xml:space="preserve"> měsíc</w:t>
            </w:r>
            <w:r w:rsidR="00854046" w:rsidRPr="00854046">
              <w:rPr>
                <w:sz w:val="24"/>
                <w:szCs w:val="24"/>
              </w:rPr>
              <w:t>e</w:t>
            </w:r>
            <w:r w:rsidR="00854046" w:rsidRPr="00F9318D">
              <w:rPr>
                <w:sz w:val="24"/>
                <w:szCs w:val="24"/>
              </w:rPr>
              <w:t xml:space="preserve"> od uzavření této smlouvy),</w:t>
            </w:r>
          </w:p>
          <w:p w14:paraId="21A6A090" w14:textId="77777777" w:rsidR="00636101" w:rsidRDefault="00636101" w:rsidP="00AB0AE9">
            <w:pPr>
              <w:numPr>
                <w:ilvl w:val="0"/>
                <w:numId w:val="3"/>
              </w:numPr>
              <w:spacing w:line="360" w:lineRule="auto"/>
              <w:ind w:left="890" w:hanging="360"/>
              <w:jc w:val="both"/>
              <w:rPr>
                <w:sz w:val="24"/>
                <w:szCs w:val="24"/>
              </w:rPr>
            </w:pPr>
            <w:r w:rsidRPr="00636101">
              <w:rPr>
                <w:sz w:val="24"/>
                <w:szCs w:val="24"/>
              </w:rPr>
              <w:t xml:space="preserve">jiné související zprávy a vyjádření vyžádaná </w:t>
            </w:r>
            <w:r>
              <w:rPr>
                <w:sz w:val="24"/>
                <w:szCs w:val="24"/>
              </w:rPr>
              <w:t>klientem</w:t>
            </w:r>
            <w:r w:rsidRPr="00636101">
              <w:rPr>
                <w:sz w:val="24"/>
                <w:szCs w:val="24"/>
              </w:rPr>
              <w:t>, týkající se i netýkající se problematiky přeprav nebezpečných věcí nebo týkající se přepravy nebezpečných věcí, byť nepředepsaných dohodou ADR,</w:t>
            </w:r>
          </w:p>
          <w:p w14:paraId="106A79ED" w14:textId="77777777" w:rsidR="00636101" w:rsidRDefault="00636101" w:rsidP="00AB0AE9">
            <w:pPr>
              <w:numPr>
                <w:ilvl w:val="0"/>
                <w:numId w:val="3"/>
              </w:numPr>
              <w:spacing w:line="360" w:lineRule="auto"/>
              <w:ind w:left="890" w:hanging="360"/>
              <w:jc w:val="both"/>
              <w:rPr>
                <w:sz w:val="24"/>
                <w:szCs w:val="24"/>
              </w:rPr>
            </w:pPr>
            <w:r w:rsidRPr="00636101">
              <w:rPr>
                <w:sz w:val="24"/>
                <w:szCs w:val="24"/>
              </w:rPr>
              <w:t xml:space="preserve">školení zaměstnanců </w:t>
            </w:r>
            <w:r>
              <w:rPr>
                <w:sz w:val="24"/>
                <w:szCs w:val="24"/>
              </w:rPr>
              <w:t>klienta</w:t>
            </w:r>
            <w:r w:rsidRPr="00636101">
              <w:rPr>
                <w:sz w:val="24"/>
                <w:szCs w:val="24"/>
              </w:rPr>
              <w:t xml:space="preserve"> zúčastněných na přepravě a manipulaci s nebezpečnými věcmi </w:t>
            </w:r>
            <w:r w:rsidR="00972903">
              <w:rPr>
                <w:sz w:val="24"/>
                <w:szCs w:val="24"/>
              </w:rPr>
              <w:t>dle 1.3 ADR</w:t>
            </w:r>
          </w:p>
          <w:p w14:paraId="5FD422C2" w14:textId="77777777" w:rsidR="00636101" w:rsidRPr="00636101" w:rsidRDefault="00636101" w:rsidP="00AB0AE9">
            <w:pPr>
              <w:numPr>
                <w:ilvl w:val="0"/>
                <w:numId w:val="3"/>
              </w:numPr>
              <w:spacing w:line="360" w:lineRule="auto"/>
              <w:ind w:left="890" w:hanging="360"/>
              <w:jc w:val="both"/>
              <w:rPr>
                <w:sz w:val="24"/>
                <w:szCs w:val="24"/>
              </w:rPr>
            </w:pPr>
            <w:r w:rsidRPr="00636101">
              <w:rPr>
                <w:sz w:val="24"/>
                <w:szCs w:val="24"/>
              </w:rPr>
              <w:lastRenderedPageBreak/>
              <w:t>zpracování zpráv o mimořádných událostech</w:t>
            </w:r>
            <w:r>
              <w:rPr>
                <w:sz w:val="24"/>
                <w:szCs w:val="24"/>
              </w:rPr>
              <w:t>.</w:t>
            </w:r>
          </w:p>
          <w:p w14:paraId="68464604" w14:textId="77777777" w:rsidR="00636101" w:rsidRPr="00B2744C" w:rsidRDefault="00636101" w:rsidP="00636101">
            <w:pPr>
              <w:spacing w:line="360" w:lineRule="auto"/>
              <w:ind w:firstLine="170"/>
              <w:jc w:val="both"/>
              <w:rPr>
                <w:sz w:val="24"/>
                <w:szCs w:val="24"/>
              </w:rPr>
            </w:pPr>
          </w:p>
        </w:tc>
      </w:tr>
    </w:tbl>
    <w:p w14:paraId="6940E7E8" w14:textId="77777777" w:rsidR="00A4312E" w:rsidRDefault="00A4312E">
      <w:pPr>
        <w:spacing w:line="360" w:lineRule="auto"/>
        <w:rPr>
          <w:b/>
          <w:sz w:val="24"/>
          <w:szCs w:val="24"/>
          <w:u w:val="single"/>
        </w:rPr>
      </w:pPr>
    </w:p>
    <w:tbl>
      <w:tblPr>
        <w:tblW w:w="10118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"/>
        <w:gridCol w:w="9838"/>
      </w:tblGrid>
      <w:tr w:rsidR="00A4312E" w14:paraId="781DD038" w14:textId="77777777" w:rsidTr="00572E8F">
        <w:tc>
          <w:tcPr>
            <w:tcW w:w="10118" w:type="dxa"/>
            <w:gridSpan w:val="2"/>
            <w:shd w:val="clear" w:color="auto" w:fill="auto"/>
          </w:tcPr>
          <w:p w14:paraId="7A0DA271" w14:textId="77777777" w:rsidR="00A4312E" w:rsidRDefault="00A4312E">
            <w:pPr>
              <w:snapToGrid w:val="0"/>
              <w:spacing w:line="360" w:lineRule="auto"/>
              <w:jc w:val="center"/>
            </w:pPr>
            <w:r>
              <w:rPr>
                <w:b/>
                <w:sz w:val="24"/>
                <w:szCs w:val="24"/>
                <w:u w:val="single"/>
              </w:rPr>
              <w:t>Článek IV.</w:t>
            </w:r>
          </w:p>
        </w:tc>
      </w:tr>
      <w:tr w:rsidR="00A4312E" w14:paraId="1EE005D1" w14:textId="77777777" w:rsidTr="00572E8F">
        <w:tc>
          <w:tcPr>
            <w:tcW w:w="10118" w:type="dxa"/>
            <w:gridSpan w:val="2"/>
            <w:shd w:val="clear" w:color="auto" w:fill="auto"/>
          </w:tcPr>
          <w:p w14:paraId="4C3FFDD3" w14:textId="24409397" w:rsidR="00A4312E" w:rsidRDefault="00A4312E" w:rsidP="00854046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0F78A9">
              <w:rPr>
                <w:sz w:val="24"/>
                <w:szCs w:val="24"/>
              </w:rPr>
              <w:t xml:space="preserve">Odměna poskytovateli za jeho činnost dle </w:t>
            </w:r>
            <w:r w:rsidR="00D05EEB" w:rsidRPr="000F78A9">
              <w:rPr>
                <w:sz w:val="24"/>
                <w:szCs w:val="24"/>
              </w:rPr>
              <w:t xml:space="preserve">článku II, bodů 1-3 </w:t>
            </w:r>
            <w:r w:rsidRPr="000F78A9">
              <w:rPr>
                <w:sz w:val="24"/>
                <w:szCs w:val="24"/>
              </w:rPr>
              <w:t xml:space="preserve">této smlouvy je určena dohodou obou stran formou měsíční paušální částky ve výši </w:t>
            </w:r>
            <w:r w:rsidR="0021307F"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>1</w:t>
            </w:r>
            <w:r w:rsidR="00854046"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>.</w:t>
            </w:r>
            <w:r w:rsidR="008F7DB5"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>650</w:t>
            </w:r>
            <w:r w:rsidRPr="000F78A9">
              <w:rPr>
                <w:sz w:val="24"/>
                <w:szCs w:val="24"/>
              </w:rPr>
              <w:t xml:space="preserve">,- Kč (slovy: </w:t>
            </w:r>
            <w:r w:rsidR="0021307F"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>jeden</w:t>
            </w:r>
            <w:r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 xml:space="preserve"> tisíc </w:t>
            </w:r>
            <w:r w:rsidR="008F7DB5"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>šest</w:t>
            </w:r>
            <w:r w:rsidR="00854046"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 xml:space="preserve"> </w:t>
            </w:r>
            <w:r w:rsidR="008F7DB5"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 xml:space="preserve">set padesát </w:t>
            </w:r>
            <w:r w:rsidRPr="000F78A9">
              <w:rPr>
                <w:sz w:val="24"/>
                <w:szCs w:val="24"/>
              </w:rPr>
              <w:t>korun českých);</w:t>
            </w:r>
          </w:p>
          <w:p w14:paraId="2AC9E842" w14:textId="7FD609EC" w:rsidR="00854046" w:rsidRPr="000F78A9" w:rsidRDefault="00854046" w:rsidP="00572E8F">
            <w:pPr>
              <w:snapToGrid w:val="0"/>
              <w:spacing w:line="360" w:lineRule="auto"/>
              <w:jc w:val="both"/>
            </w:pPr>
            <w:permStart w:id="1818757569" w:edGrp="everyone"/>
            <w:permEnd w:id="1818757569"/>
          </w:p>
        </w:tc>
      </w:tr>
      <w:tr w:rsidR="00A4312E" w14:paraId="32302554" w14:textId="77777777" w:rsidTr="00572E8F">
        <w:tc>
          <w:tcPr>
            <w:tcW w:w="280" w:type="dxa"/>
            <w:shd w:val="clear" w:color="auto" w:fill="auto"/>
          </w:tcPr>
          <w:p w14:paraId="63F36AF8" w14:textId="5C6ABEDA" w:rsidR="00A4312E" w:rsidRDefault="00A4312E">
            <w:pPr>
              <w:pStyle w:val="Obsahtabulky"/>
            </w:pPr>
          </w:p>
        </w:tc>
        <w:tc>
          <w:tcPr>
            <w:tcW w:w="9838" w:type="dxa"/>
            <w:shd w:val="clear" w:color="auto" w:fill="auto"/>
          </w:tcPr>
          <w:p w14:paraId="0C5BA0B0" w14:textId="58AE1183" w:rsidR="00A4312E" w:rsidRPr="000F78A9" w:rsidRDefault="00A4312E">
            <w:pPr>
              <w:snapToGrid w:val="0"/>
              <w:spacing w:line="360" w:lineRule="auto"/>
              <w:jc w:val="both"/>
            </w:pPr>
            <w:r w:rsidRPr="000F78A9">
              <w:rPr>
                <w:sz w:val="24"/>
                <w:szCs w:val="24"/>
              </w:rPr>
              <w:t xml:space="preserve">Za školení osob podílejících se na přepravě nebezpečných věcí dle 1.3 ADR je stanovena částka </w:t>
            </w:r>
            <w:r w:rsidR="0046204E">
              <w:rPr>
                <w:sz w:val="24"/>
                <w:szCs w:val="24"/>
              </w:rPr>
              <w:t>7</w:t>
            </w:r>
            <w:r w:rsidR="0021307F" w:rsidRPr="000F78A9">
              <w:rPr>
                <w:sz w:val="24"/>
                <w:szCs w:val="24"/>
              </w:rPr>
              <w:t>5</w:t>
            </w:r>
            <w:r w:rsidRPr="000F78A9">
              <w:rPr>
                <w:sz w:val="24"/>
                <w:szCs w:val="24"/>
              </w:rPr>
              <w:t xml:space="preserve">0,- </w:t>
            </w:r>
            <w:r w:rsidR="00854046">
              <w:rPr>
                <w:sz w:val="24"/>
                <w:szCs w:val="24"/>
              </w:rPr>
              <w:t xml:space="preserve">Kč </w:t>
            </w:r>
            <w:r w:rsidRPr="000F78A9">
              <w:rPr>
                <w:sz w:val="24"/>
                <w:szCs w:val="24"/>
              </w:rPr>
              <w:t>/osobu.</w:t>
            </w:r>
          </w:p>
        </w:tc>
      </w:tr>
      <w:tr w:rsidR="00A4312E" w14:paraId="3282A4BD" w14:textId="77777777" w:rsidTr="00572E8F">
        <w:tc>
          <w:tcPr>
            <w:tcW w:w="280" w:type="dxa"/>
            <w:shd w:val="clear" w:color="auto" w:fill="auto"/>
          </w:tcPr>
          <w:p w14:paraId="460269A8" w14:textId="77777777" w:rsidR="00A4312E" w:rsidRDefault="00A4312E">
            <w:pPr>
              <w:pStyle w:val="Obsahtabulky"/>
            </w:pPr>
          </w:p>
        </w:tc>
        <w:tc>
          <w:tcPr>
            <w:tcW w:w="9838" w:type="dxa"/>
            <w:shd w:val="clear" w:color="auto" w:fill="auto"/>
          </w:tcPr>
          <w:p w14:paraId="6C6ACFAD" w14:textId="77777777" w:rsidR="00854046" w:rsidRDefault="00854046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59C26A0" w14:textId="126CAACF" w:rsidR="00A4312E" w:rsidRDefault="00A4312E" w:rsidP="00854046">
            <w:pPr>
              <w:snapToGrid w:val="0"/>
              <w:spacing w:line="360" w:lineRule="auto"/>
              <w:jc w:val="both"/>
            </w:pPr>
            <w:r>
              <w:rPr>
                <w:sz w:val="24"/>
                <w:szCs w:val="24"/>
              </w:rPr>
              <w:t>V případě vyžádání asistence nebo činností nad rámec této smlouvy</w:t>
            </w:r>
            <w:r w:rsidR="0063610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např. při vzniku vážné nehody či mimořádné události na území České republiky či při účasti na kontrole prováděné orgány státního odborného dozoru v sídle klienta</w:t>
            </w:r>
            <w:r w:rsidR="0063610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bude účtována částka ve výši </w:t>
            </w:r>
            <w:r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 xml:space="preserve">500,- </w:t>
            </w:r>
            <w:r w:rsidR="00854046"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>Kč</w:t>
            </w:r>
            <w:r w:rsidR="00854046" w:rsidRPr="00CA483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 každou započatou hodinu činnosti, maximálně</w:t>
            </w:r>
            <w:r w:rsidR="00854046">
              <w:rPr>
                <w:sz w:val="24"/>
                <w:szCs w:val="24"/>
              </w:rPr>
              <w:t xml:space="preserve"> však </w:t>
            </w:r>
            <w:r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>4</w:t>
            </w:r>
            <w:r w:rsidR="00854046"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>.</w:t>
            </w:r>
            <w:r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>000,-</w:t>
            </w:r>
            <w:r w:rsidR="00854046"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 xml:space="preserve"> Kč</w:t>
            </w:r>
            <w:r w:rsidR="00D05EEB" w:rsidRPr="00CA483C">
              <w:rPr>
                <w:color w:val="000000" w:themeColor="text1"/>
                <w:sz w:val="24"/>
                <w:szCs w:val="24"/>
                <w:shd w:val="clear" w:color="auto" w:fill="000000" w:themeFill="text1"/>
              </w:rPr>
              <w:t>/den</w:t>
            </w:r>
            <w:r w:rsidR="00D05EEB">
              <w:rPr>
                <w:sz w:val="24"/>
                <w:szCs w:val="24"/>
              </w:rPr>
              <w:t>.</w:t>
            </w:r>
          </w:p>
        </w:tc>
      </w:tr>
      <w:tr w:rsidR="00A4312E" w14:paraId="43C40B01" w14:textId="77777777" w:rsidTr="00572E8F">
        <w:tc>
          <w:tcPr>
            <w:tcW w:w="280" w:type="dxa"/>
            <w:shd w:val="clear" w:color="auto" w:fill="auto"/>
          </w:tcPr>
          <w:p w14:paraId="0A6F60C4" w14:textId="77777777" w:rsidR="00A4312E" w:rsidRDefault="00A4312E">
            <w:pPr>
              <w:pStyle w:val="Obsahtabulky"/>
            </w:pPr>
          </w:p>
        </w:tc>
        <w:tc>
          <w:tcPr>
            <w:tcW w:w="9838" w:type="dxa"/>
            <w:shd w:val="clear" w:color="auto" w:fill="auto"/>
          </w:tcPr>
          <w:p w14:paraId="6DDFF4ED" w14:textId="77777777" w:rsidR="00A4312E" w:rsidRDefault="00D05EEB">
            <w:pPr>
              <w:tabs>
                <w:tab w:val="left" w:pos="27495"/>
              </w:tabs>
              <w:snapToGrid w:val="0"/>
              <w:spacing w:line="360" w:lineRule="auto"/>
            </w:pPr>
            <w:r>
              <w:rPr>
                <w:sz w:val="24"/>
                <w:szCs w:val="24"/>
              </w:rPr>
              <w:t>Poskytovatel není plátce DPH.</w:t>
            </w:r>
          </w:p>
        </w:tc>
      </w:tr>
      <w:tr w:rsidR="00A4312E" w14:paraId="28273F49" w14:textId="77777777" w:rsidTr="00572E8F">
        <w:tc>
          <w:tcPr>
            <w:tcW w:w="280" w:type="dxa"/>
            <w:shd w:val="clear" w:color="auto" w:fill="auto"/>
          </w:tcPr>
          <w:p w14:paraId="01804F16" w14:textId="77777777" w:rsidR="00A4312E" w:rsidRDefault="00A4312E" w:rsidP="00854046">
            <w:pPr>
              <w:pStyle w:val="Obsahtabulky"/>
              <w:snapToGrid w:val="0"/>
            </w:pPr>
          </w:p>
        </w:tc>
        <w:tc>
          <w:tcPr>
            <w:tcW w:w="9838" w:type="dxa"/>
            <w:shd w:val="clear" w:color="auto" w:fill="auto"/>
          </w:tcPr>
          <w:p w14:paraId="3266ADD3" w14:textId="635B1537" w:rsidR="00A4312E" w:rsidRDefault="00854046" w:rsidP="00854046">
            <w:pPr>
              <w:tabs>
                <w:tab w:val="left" w:pos="27495"/>
              </w:tabs>
              <w:snapToGrid w:val="0"/>
              <w:spacing w:line="360" w:lineRule="auto"/>
              <w:jc w:val="both"/>
            </w:pPr>
            <w:r>
              <w:rPr>
                <w:sz w:val="24"/>
                <w:szCs w:val="24"/>
              </w:rPr>
              <w:t>Sjednaná měsíční p</w:t>
            </w:r>
            <w:r w:rsidR="00A4312E">
              <w:rPr>
                <w:sz w:val="24"/>
                <w:szCs w:val="24"/>
              </w:rPr>
              <w:t xml:space="preserve">aušální částka bude účtována fakturou poskytovatele </w:t>
            </w:r>
            <w:r>
              <w:rPr>
                <w:sz w:val="24"/>
                <w:szCs w:val="24"/>
              </w:rPr>
              <w:t xml:space="preserve">(s veškerými náležitostmi účetního dokladu), </w:t>
            </w:r>
            <w:r w:rsidR="00A4312E">
              <w:rPr>
                <w:sz w:val="24"/>
                <w:szCs w:val="24"/>
              </w:rPr>
              <w:t xml:space="preserve">vždy měsíčně k poslednímu dni kalendářního měsíce. Faktura </w:t>
            </w:r>
            <w:r>
              <w:rPr>
                <w:sz w:val="24"/>
                <w:szCs w:val="24"/>
              </w:rPr>
              <w:t>bude</w:t>
            </w:r>
            <w:r w:rsidR="00A4312E">
              <w:rPr>
                <w:sz w:val="24"/>
                <w:szCs w:val="24"/>
              </w:rPr>
              <w:t xml:space="preserve"> splatná do 30 dnů ode dne doručení </w:t>
            </w:r>
            <w:r w:rsidR="00636101">
              <w:rPr>
                <w:sz w:val="24"/>
                <w:szCs w:val="24"/>
              </w:rPr>
              <w:t xml:space="preserve">faktury </w:t>
            </w:r>
            <w:r w:rsidR="00A4312E">
              <w:rPr>
                <w:sz w:val="24"/>
                <w:szCs w:val="24"/>
              </w:rPr>
              <w:t>klientovi</w:t>
            </w:r>
            <w:r w:rsidR="00636101">
              <w:rPr>
                <w:sz w:val="24"/>
                <w:szCs w:val="24"/>
              </w:rPr>
              <w:t>, platbou</w:t>
            </w:r>
            <w:r w:rsidR="00A4312E">
              <w:rPr>
                <w:sz w:val="24"/>
                <w:szCs w:val="24"/>
              </w:rPr>
              <w:t xml:space="preserve"> na účet </w:t>
            </w:r>
            <w:r w:rsidR="00636101">
              <w:rPr>
                <w:sz w:val="24"/>
                <w:szCs w:val="24"/>
              </w:rPr>
              <w:t xml:space="preserve">na faktuře </w:t>
            </w:r>
            <w:r w:rsidR="00A4312E">
              <w:rPr>
                <w:sz w:val="24"/>
                <w:szCs w:val="24"/>
              </w:rPr>
              <w:t>uvedený.</w:t>
            </w:r>
          </w:p>
        </w:tc>
      </w:tr>
      <w:tr w:rsidR="00A4312E" w14:paraId="688D3122" w14:textId="77777777" w:rsidTr="00572E8F">
        <w:tc>
          <w:tcPr>
            <w:tcW w:w="280" w:type="dxa"/>
            <w:shd w:val="clear" w:color="auto" w:fill="auto"/>
          </w:tcPr>
          <w:p w14:paraId="7BC24784" w14:textId="77777777" w:rsidR="00A4312E" w:rsidRDefault="00A4312E">
            <w:pPr>
              <w:pStyle w:val="Obsahtabulky"/>
              <w:snapToGrid w:val="0"/>
            </w:pPr>
          </w:p>
        </w:tc>
        <w:tc>
          <w:tcPr>
            <w:tcW w:w="9838" w:type="dxa"/>
            <w:shd w:val="clear" w:color="auto" w:fill="auto"/>
          </w:tcPr>
          <w:p w14:paraId="673EA001" w14:textId="4A528406" w:rsidR="00A4312E" w:rsidRDefault="00636101" w:rsidP="00854046">
            <w:pPr>
              <w:tabs>
                <w:tab w:val="left" w:pos="27495"/>
              </w:tabs>
              <w:snapToGrid w:val="0"/>
              <w:spacing w:line="360" w:lineRule="auto"/>
            </w:pPr>
            <w:r>
              <w:rPr>
                <w:sz w:val="24"/>
                <w:szCs w:val="24"/>
              </w:rPr>
              <w:t>O</w:t>
            </w:r>
            <w:r w:rsidR="00A4312E">
              <w:rPr>
                <w:sz w:val="24"/>
                <w:szCs w:val="24"/>
              </w:rPr>
              <w:t xml:space="preserve">dměna </w:t>
            </w:r>
            <w:r w:rsidR="00854046">
              <w:rPr>
                <w:sz w:val="24"/>
                <w:szCs w:val="24"/>
              </w:rPr>
              <w:t>sjednaná za školení osob nebo za činnosti nad rámec měsíční paušální platby,</w:t>
            </w:r>
            <w:r w:rsidR="00A4312E">
              <w:rPr>
                <w:sz w:val="24"/>
                <w:szCs w:val="24"/>
              </w:rPr>
              <w:t xml:space="preserve"> bude účtována fakturou poskytovatele </w:t>
            </w:r>
            <w:r w:rsidR="00854046" w:rsidRPr="00854046">
              <w:rPr>
                <w:sz w:val="24"/>
                <w:szCs w:val="24"/>
              </w:rPr>
              <w:t>(s veškerými náležitostmi účetního dokladu)</w:t>
            </w:r>
            <w:r w:rsidR="00854046">
              <w:rPr>
                <w:sz w:val="24"/>
                <w:szCs w:val="24"/>
              </w:rPr>
              <w:t xml:space="preserve"> </w:t>
            </w:r>
            <w:r w:rsidR="00A4312E">
              <w:rPr>
                <w:sz w:val="24"/>
                <w:szCs w:val="24"/>
              </w:rPr>
              <w:t>vždy do 5</w:t>
            </w:r>
            <w:r w:rsidR="00B2744C">
              <w:rPr>
                <w:sz w:val="24"/>
                <w:szCs w:val="24"/>
              </w:rPr>
              <w:t xml:space="preserve"> </w:t>
            </w:r>
            <w:r w:rsidR="00A4312E">
              <w:rPr>
                <w:sz w:val="24"/>
                <w:szCs w:val="24"/>
              </w:rPr>
              <w:t xml:space="preserve">ti dnů po provedení činnosti. Faktura </w:t>
            </w:r>
            <w:r w:rsidR="00854046">
              <w:rPr>
                <w:sz w:val="24"/>
                <w:szCs w:val="24"/>
              </w:rPr>
              <w:t>bude</w:t>
            </w:r>
            <w:r w:rsidR="00A4312E">
              <w:rPr>
                <w:sz w:val="24"/>
                <w:szCs w:val="24"/>
              </w:rPr>
              <w:t xml:space="preserve"> splatná 30 dnů ode dne doručení </w:t>
            </w:r>
            <w:r w:rsidR="009E5BED">
              <w:rPr>
                <w:sz w:val="24"/>
                <w:szCs w:val="24"/>
              </w:rPr>
              <w:t>faktury klientovi, platbou na účet na faktuře uvedený.</w:t>
            </w:r>
          </w:p>
        </w:tc>
      </w:tr>
    </w:tbl>
    <w:p w14:paraId="0BA2DF57" w14:textId="77777777" w:rsidR="00A4312E" w:rsidRDefault="00A4312E">
      <w:pPr>
        <w:spacing w:line="360" w:lineRule="auto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5"/>
      </w:tblGrid>
      <w:tr w:rsidR="00A4312E" w14:paraId="06524A72" w14:textId="77777777">
        <w:tc>
          <w:tcPr>
            <w:tcW w:w="10205" w:type="dxa"/>
            <w:shd w:val="clear" w:color="auto" w:fill="auto"/>
          </w:tcPr>
          <w:p w14:paraId="025EB4FF" w14:textId="77777777" w:rsidR="00A4312E" w:rsidRDefault="00A4312E">
            <w:pPr>
              <w:snapToGrid w:val="0"/>
              <w:spacing w:line="360" w:lineRule="auto"/>
              <w:jc w:val="center"/>
            </w:pPr>
            <w:r>
              <w:rPr>
                <w:b/>
                <w:sz w:val="24"/>
                <w:szCs w:val="24"/>
                <w:u w:val="single"/>
              </w:rPr>
              <w:t>Článek V.</w:t>
            </w:r>
          </w:p>
        </w:tc>
      </w:tr>
      <w:tr w:rsidR="00A4312E" w14:paraId="628D2C8D" w14:textId="77777777">
        <w:tc>
          <w:tcPr>
            <w:tcW w:w="10205" w:type="dxa"/>
            <w:shd w:val="clear" w:color="auto" w:fill="auto"/>
          </w:tcPr>
          <w:p w14:paraId="1DFEA68C" w14:textId="77777777" w:rsidR="00A4312E" w:rsidRDefault="00A4312E" w:rsidP="00572E8F">
            <w:pPr>
              <w:snapToGrid w:val="0"/>
              <w:spacing w:line="360" w:lineRule="auto"/>
              <w:jc w:val="both"/>
            </w:pPr>
            <w:r>
              <w:rPr>
                <w:sz w:val="24"/>
                <w:szCs w:val="24"/>
              </w:rPr>
              <w:t>Klient se zavazuje poskytnout poskytovateli</w:t>
            </w:r>
            <w:r w:rsidR="002D2A48">
              <w:rPr>
                <w:sz w:val="24"/>
                <w:szCs w:val="24"/>
              </w:rPr>
              <w:t xml:space="preserve"> k jeho žádosti</w:t>
            </w:r>
            <w:r>
              <w:rPr>
                <w:sz w:val="24"/>
                <w:szCs w:val="24"/>
              </w:rPr>
              <w:t xml:space="preserve"> součinnost nutnou k provedení služeb uvedených v čl. III. této smlouvy, zejména mu</w:t>
            </w:r>
            <w:r w:rsidR="002D2A48">
              <w:rPr>
                <w:sz w:val="24"/>
                <w:szCs w:val="24"/>
              </w:rPr>
              <w:t xml:space="preserve"> v potřebném a důvodném rozsahu</w:t>
            </w:r>
            <w:r>
              <w:rPr>
                <w:sz w:val="24"/>
                <w:szCs w:val="24"/>
              </w:rPr>
              <w:t xml:space="preserve"> umožnit vstup na všechna svá pracoviště a zpřístupnit </w:t>
            </w:r>
            <w:r w:rsidR="002D2A48">
              <w:rPr>
                <w:sz w:val="24"/>
                <w:szCs w:val="24"/>
              </w:rPr>
              <w:t xml:space="preserve">mu v potřebném a důvodném rozsahu </w:t>
            </w:r>
            <w:r>
              <w:rPr>
                <w:sz w:val="24"/>
                <w:szCs w:val="24"/>
              </w:rPr>
              <w:t xml:space="preserve">písemnosti a materiály, týkající se oblasti, pro kterou je činnost poskytovatele poskytována. Klient se současně zavazuje poskytnout poskytovateli včasné, pravdivé, úplné a přehledné informace. Ty budou využity pouze pro činnost poskytovatele a jsou považovány za důvěrné. </w:t>
            </w:r>
          </w:p>
          <w:p w14:paraId="3B6B46C6" w14:textId="77777777" w:rsidR="00854046" w:rsidRDefault="00854046" w:rsidP="00F931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D86E589" w14:textId="77777777" w:rsidR="00854046" w:rsidRDefault="00854046" w:rsidP="00F931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D481CFE" w14:textId="77777777" w:rsidR="00A4312E" w:rsidRDefault="00A4312E" w:rsidP="00572E8F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lastRenderedPageBreak/>
              <w:t>Poskytovatel je povinen provést písemné vyhodnocení zjištěného stavu s vynaložením odborné péče a v rozsahu a způsobem stanoveným v této smlouvě, jinak v rozsahu a způsobem obvyklým při obdobných činnostech. Zjištěný stav je poskytovatel povinen popsat ve zprávě o výsledcích kontroly a ve výroční zprávě.</w:t>
            </w:r>
          </w:p>
        </w:tc>
      </w:tr>
    </w:tbl>
    <w:p w14:paraId="5CF31183" w14:textId="77777777" w:rsidR="00A4312E" w:rsidRDefault="00A4312E">
      <w:pPr>
        <w:spacing w:line="360" w:lineRule="auto"/>
        <w:jc w:val="center"/>
      </w:pPr>
    </w:p>
    <w:p w14:paraId="73F3A4D4" w14:textId="77777777" w:rsidR="003D2D90" w:rsidRDefault="003D2D90">
      <w:pPr>
        <w:spacing w:line="360" w:lineRule="auto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7"/>
        <w:gridCol w:w="9838"/>
      </w:tblGrid>
      <w:tr w:rsidR="00A4312E" w14:paraId="665B26A3" w14:textId="77777777">
        <w:tc>
          <w:tcPr>
            <w:tcW w:w="10205" w:type="dxa"/>
            <w:gridSpan w:val="2"/>
            <w:shd w:val="clear" w:color="auto" w:fill="auto"/>
          </w:tcPr>
          <w:p w14:paraId="65075BD7" w14:textId="77777777" w:rsidR="00A4312E" w:rsidRDefault="00A4312E">
            <w:pPr>
              <w:snapToGrid w:val="0"/>
              <w:spacing w:line="360" w:lineRule="auto"/>
              <w:jc w:val="center"/>
            </w:pPr>
            <w:r>
              <w:rPr>
                <w:b/>
                <w:sz w:val="24"/>
                <w:szCs w:val="24"/>
                <w:u w:val="single"/>
              </w:rPr>
              <w:t>Článek VI.</w:t>
            </w:r>
          </w:p>
        </w:tc>
      </w:tr>
      <w:tr w:rsidR="00A4312E" w14:paraId="6D4DE1B0" w14:textId="77777777">
        <w:tc>
          <w:tcPr>
            <w:tcW w:w="10205" w:type="dxa"/>
            <w:gridSpan w:val="2"/>
            <w:shd w:val="clear" w:color="auto" w:fill="auto"/>
          </w:tcPr>
          <w:p w14:paraId="51E62BC2" w14:textId="5823A84F" w:rsidR="00A26738" w:rsidRDefault="00A4312E" w:rsidP="00572E8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Tato smlouva nabývá účinnosti </w:t>
            </w:r>
            <w:r w:rsidRPr="000F78A9">
              <w:rPr>
                <w:sz w:val="24"/>
                <w:szCs w:val="24"/>
              </w:rPr>
              <w:t>od 1.</w:t>
            </w:r>
            <w:r w:rsidR="00805752">
              <w:rPr>
                <w:sz w:val="24"/>
                <w:szCs w:val="24"/>
              </w:rPr>
              <w:t xml:space="preserve"> </w:t>
            </w:r>
            <w:r w:rsidR="0046204E">
              <w:rPr>
                <w:sz w:val="24"/>
                <w:szCs w:val="24"/>
              </w:rPr>
              <w:t>11</w:t>
            </w:r>
            <w:r w:rsidRPr="000F78A9">
              <w:rPr>
                <w:sz w:val="24"/>
                <w:szCs w:val="24"/>
              </w:rPr>
              <w:t>.</w:t>
            </w:r>
            <w:r w:rsidR="00805752">
              <w:rPr>
                <w:sz w:val="24"/>
                <w:szCs w:val="24"/>
              </w:rPr>
              <w:t xml:space="preserve"> </w:t>
            </w:r>
            <w:r w:rsidRPr="000F78A9">
              <w:rPr>
                <w:sz w:val="24"/>
                <w:szCs w:val="24"/>
              </w:rPr>
              <w:t>20</w:t>
            </w:r>
            <w:r w:rsidR="0003354C" w:rsidRPr="000F78A9">
              <w:rPr>
                <w:sz w:val="24"/>
                <w:szCs w:val="24"/>
              </w:rPr>
              <w:t>2</w:t>
            </w:r>
            <w:r w:rsidR="0021307F" w:rsidRPr="000F78A9">
              <w:rPr>
                <w:sz w:val="24"/>
                <w:szCs w:val="24"/>
              </w:rPr>
              <w:t>3</w:t>
            </w:r>
            <w:r w:rsidRPr="000F78A9">
              <w:rPr>
                <w:sz w:val="24"/>
                <w:szCs w:val="24"/>
              </w:rPr>
              <w:t>.</w:t>
            </w:r>
            <w:r w:rsidR="00A26738">
              <w:rPr>
                <w:sz w:val="24"/>
                <w:szCs w:val="24"/>
              </w:rPr>
              <w:t xml:space="preserve"> </w:t>
            </w:r>
          </w:p>
          <w:p w14:paraId="06298493" w14:textId="5A9FC9C0" w:rsidR="00A4312E" w:rsidRDefault="00A4312E" w:rsidP="00572E8F">
            <w:pPr>
              <w:snapToGrid w:val="0"/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Tato smlouva se uzavírá na dobu neurčitou a lze ji zrušit buď písemnou dohodou smluvních stran vždy k poslednímu dni v měsíci nebo výpovědí </w:t>
            </w:r>
            <w:r w:rsidR="00F9318D">
              <w:rPr>
                <w:sz w:val="24"/>
                <w:szCs w:val="24"/>
              </w:rPr>
              <w:t xml:space="preserve">jakékoli ze smluvních stran, </w:t>
            </w:r>
            <w:r>
              <w:rPr>
                <w:sz w:val="24"/>
                <w:szCs w:val="24"/>
              </w:rPr>
              <w:t xml:space="preserve">s výpovědní </w:t>
            </w:r>
            <w:r w:rsidR="00F9318D">
              <w:rPr>
                <w:sz w:val="24"/>
                <w:szCs w:val="24"/>
              </w:rPr>
              <w:t>dobou</w:t>
            </w:r>
            <w:r>
              <w:rPr>
                <w:sz w:val="24"/>
                <w:szCs w:val="24"/>
              </w:rPr>
              <w:t xml:space="preserve"> 3 měsíce, která začíná běžet od 1.dne měsíce následujícího po době prokazatelného doručení výpovědi druhé straně. Smlouvu lze také ukončit okamžitě</w:t>
            </w:r>
            <w:r w:rsidR="00F9318D">
              <w:rPr>
                <w:sz w:val="24"/>
                <w:szCs w:val="24"/>
              </w:rPr>
              <w:t xml:space="preserve">, jednostranným </w:t>
            </w:r>
            <w:r w:rsidR="002D2A48">
              <w:rPr>
                <w:sz w:val="24"/>
                <w:szCs w:val="24"/>
              </w:rPr>
              <w:t xml:space="preserve">odstoupením </w:t>
            </w:r>
            <w:r w:rsidR="00F9318D">
              <w:rPr>
                <w:sz w:val="24"/>
                <w:szCs w:val="24"/>
              </w:rPr>
              <w:t xml:space="preserve">jakékoli ze smluvních stran, </w:t>
            </w:r>
            <w:r w:rsidR="002D2A48">
              <w:rPr>
                <w:sz w:val="24"/>
                <w:szCs w:val="24"/>
              </w:rPr>
              <w:t xml:space="preserve">z důvodu </w:t>
            </w:r>
            <w:r>
              <w:rPr>
                <w:sz w:val="24"/>
                <w:szCs w:val="24"/>
              </w:rPr>
              <w:t>hrubé</w:t>
            </w:r>
            <w:r w:rsidR="002D2A48">
              <w:rPr>
                <w:sz w:val="24"/>
                <w:szCs w:val="24"/>
              </w:rPr>
              <w:t>ho</w:t>
            </w:r>
            <w:r>
              <w:rPr>
                <w:sz w:val="24"/>
                <w:szCs w:val="24"/>
              </w:rPr>
              <w:t xml:space="preserve"> poruš</w:t>
            </w:r>
            <w:r w:rsidR="002D2A48">
              <w:rPr>
                <w:sz w:val="24"/>
                <w:szCs w:val="24"/>
              </w:rPr>
              <w:t xml:space="preserve">ení této smlouvy. </w:t>
            </w:r>
          </w:p>
          <w:p w14:paraId="01CFBFBE" w14:textId="77777777" w:rsidR="00A4312E" w:rsidRDefault="00A4312E">
            <w:pPr>
              <w:snapToGrid w:val="0"/>
              <w:spacing w:line="360" w:lineRule="auto"/>
              <w:rPr>
                <w:color w:val="FF0000"/>
                <w:sz w:val="24"/>
                <w:szCs w:val="24"/>
              </w:rPr>
            </w:pPr>
          </w:p>
          <w:p w14:paraId="5D28523D" w14:textId="77777777" w:rsidR="000F78A9" w:rsidRDefault="000F78A9">
            <w:pPr>
              <w:snapToGrid w:val="0"/>
              <w:spacing w:line="360" w:lineRule="auto"/>
              <w:rPr>
                <w:color w:val="FF0000"/>
                <w:sz w:val="24"/>
                <w:szCs w:val="24"/>
              </w:rPr>
            </w:pPr>
          </w:p>
          <w:p w14:paraId="19FB8250" w14:textId="77777777" w:rsidR="00A4312E" w:rsidRDefault="00A4312E">
            <w:pPr>
              <w:snapToGrid w:val="0"/>
              <w:spacing w:line="360" w:lineRule="auto"/>
              <w:jc w:val="center"/>
            </w:pPr>
            <w:r>
              <w:rPr>
                <w:b/>
                <w:sz w:val="24"/>
                <w:szCs w:val="24"/>
                <w:u w:val="single"/>
              </w:rPr>
              <w:t>Článek VII.</w:t>
            </w:r>
          </w:p>
          <w:p w14:paraId="60C309EF" w14:textId="77777777" w:rsidR="00A4312E" w:rsidRDefault="00A4312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V případě </w:t>
            </w:r>
            <w:r w:rsidR="002D2A48">
              <w:rPr>
                <w:sz w:val="24"/>
                <w:szCs w:val="24"/>
              </w:rPr>
              <w:t xml:space="preserve">prodlení </w:t>
            </w:r>
            <w:r>
              <w:rPr>
                <w:sz w:val="24"/>
                <w:szCs w:val="24"/>
              </w:rPr>
              <w:t xml:space="preserve">poskytovatele se sestavením </w:t>
            </w:r>
            <w:r w:rsidR="002D2A48">
              <w:rPr>
                <w:sz w:val="24"/>
                <w:szCs w:val="24"/>
              </w:rPr>
              <w:t xml:space="preserve">a dodáním </w:t>
            </w:r>
            <w:r>
              <w:rPr>
                <w:sz w:val="24"/>
                <w:szCs w:val="24"/>
              </w:rPr>
              <w:t>výroční zprávy</w:t>
            </w:r>
            <w:r w:rsidR="002D2A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dle článku III. této smlouvy </w:t>
            </w:r>
            <w:r w:rsidR="002D2A48">
              <w:rPr>
                <w:sz w:val="24"/>
                <w:szCs w:val="24"/>
              </w:rPr>
              <w:t>klientovi</w:t>
            </w:r>
            <w:r>
              <w:rPr>
                <w:sz w:val="24"/>
                <w:szCs w:val="24"/>
              </w:rPr>
              <w:t xml:space="preserve">, vzniká klientovi nárok na smluvní pokutu ve výši </w:t>
            </w:r>
            <w:r w:rsidR="00B2744C">
              <w:rPr>
                <w:sz w:val="24"/>
                <w:szCs w:val="24"/>
              </w:rPr>
              <w:t>1.000, -</w:t>
            </w:r>
            <w:r>
              <w:rPr>
                <w:sz w:val="24"/>
                <w:szCs w:val="24"/>
              </w:rPr>
              <w:t xml:space="preserve"> Kč denně za každý den prodlení</w:t>
            </w:r>
            <w:r w:rsidR="00715808">
              <w:rPr>
                <w:sz w:val="24"/>
                <w:szCs w:val="24"/>
              </w:rPr>
              <w:t>; n</w:t>
            </w:r>
            <w:r>
              <w:rPr>
                <w:sz w:val="24"/>
                <w:szCs w:val="24"/>
              </w:rPr>
              <w:t>árok na náhradu škody tímto není dotčen.</w:t>
            </w:r>
          </w:p>
          <w:p w14:paraId="3561029F" w14:textId="3BC77143" w:rsidR="00A4312E" w:rsidRDefault="00A4312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Poskytovatel odpovídá </w:t>
            </w:r>
            <w:r w:rsidR="00F9318D">
              <w:rPr>
                <w:sz w:val="24"/>
                <w:szCs w:val="24"/>
              </w:rPr>
              <w:t xml:space="preserve">v celém rozsahu </w:t>
            </w:r>
            <w:r>
              <w:rPr>
                <w:sz w:val="24"/>
                <w:szCs w:val="24"/>
              </w:rPr>
              <w:t xml:space="preserve">za škodu, která vznikne klientovi, v důsledku chybně poskytnutého </w:t>
            </w:r>
            <w:r w:rsidR="00F9318D">
              <w:rPr>
                <w:sz w:val="24"/>
                <w:szCs w:val="24"/>
              </w:rPr>
              <w:t xml:space="preserve">(nebo neposkytnutého) </w:t>
            </w:r>
            <w:r>
              <w:rPr>
                <w:sz w:val="24"/>
                <w:szCs w:val="24"/>
              </w:rPr>
              <w:t>poradenství v</w:t>
            </w:r>
            <w:r w:rsidR="00F9318D">
              <w:rPr>
                <w:sz w:val="24"/>
                <w:szCs w:val="24"/>
              </w:rPr>
              <w:t xml:space="preserve"> oblasti </w:t>
            </w:r>
            <w:r>
              <w:rPr>
                <w:sz w:val="24"/>
                <w:szCs w:val="24"/>
              </w:rPr>
              <w:t xml:space="preserve">ADR. Poskytovatel též odpovídá klientovi </w:t>
            </w:r>
            <w:r w:rsidR="00F9318D">
              <w:rPr>
                <w:sz w:val="24"/>
                <w:szCs w:val="24"/>
              </w:rPr>
              <w:t xml:space="preserve">v celém rozsahu </w:t>
            </w:r>
            <w:r>
              <w:rPr>
                <w:sz w:val="24"/>
                <w:szCs w:val="24"/>
              </w:rPr>
              <w:t xml:space="preserve">za </w:t>
            </w:r>
            <w:r w:rsidR="00F9318D">
              <w:rPr>
                <w:sz w:val="24"/>
                <w:szCs w:val="24"/>
              </w:rPr>
              <w:t xml:space="preserve">případnou </w:t>
            </w:r>
            <w:r>
              <w:rPr>
                <w:sz w:val="24"/>
                <w:szCs w:val="24"/>
              </w:rPr>
              <w:t>škodu, vzniklou v důsledku chybně sestavené výroční zprávy</w:t>
            </w:r>
            <w:r w:rsidR="00F9318D">
              <w:rPr>
                <w:sz w:val="24"/>
                <w:szCs w:val="24"/>
              </w:rPr>
              <w:t xml:space="preserve">, jiných zpráv, směrnic či jiných písemných podkladů, připravených či sestavených poskytovatelem pro klienta. </w:t>
            </w:r>
          </w:p>
          <w:p w14:paraId="65AE5DB5" w14:textId="77777777" w:rsidR="00A4312E" w:rsidRDefault="00A4312E" w:rsidP="00B2744C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312E" w14:paraId="7C1A36EA" w14:textId="77777777">
        <w:tc>
          <w:tcPr>
            <w:tcW w:w="10205" w:type="dxa"/>
            <w:gridSpan w:val="2"/>
            <w:shd w:val="clear" w:color="auto" w:fill="auto"/>
          </w:tcPr>
          <w:p w14:paraId="5FD7FD38" w14:textId="77777777" w:rsidR="00A4312E" w:rsidRDefault="00A4312E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312E" w14:paraId="321EE0D1" w14:textId="77777777">
        <w:tc>
          <w:tcPr>
            <w:tcW w:w="10205" w:type="dxa"/>
            <w:gridSpan w:val="2"/>
            <w:shd w:val="clear" w:color="auto" w:fill="auto"/>
          </w:tcPr>
          <w:p w14:paraId="14B9AC97" w14:textId="77777777" w:rsidR="00A4312E" w:rsidRDefault="00A4312E">
            <w:pPr>
              <w:snapToGrid w:val="0"/>
              <w:spacing w:line="360" w:lineRule="auto"/>
              <w:jc w:val="center"/>
            </w:pPr>
            <w:r>
              <w:rPr>
                <w:b/>
                <w:sz w:val="24"/>
                <w:szCs w:val="24"/>
                <w:u w:val="single"/>
              </w:rPr>
              <w:t>Článek VIII.</w:t>
            </w:r>
          </w:p>
        </w:tc>
      </w:tr>
      <w:tr w:rsidR="00A4312E" w14:paraId="4B88BF30" w14:textId="77777777">
        <w:tc>
          <w:tcPr>
            <w:tcW w:w="367" w:type="dxa"/>
            <w:shd w:val="clear" w:color="auto" w:fill="auto"/>
          </w:tcPr>
          <w:p w14:paraId="65A38219" w14:textId="77777777" w:rsidR="00A4312E" w:rsidRDefault="00A4312E">
            <w:pPr>
              <w:pStyle w:val="Obsahtabulky"/>
              <w:snapToGrid w:val="0"/>
            </w:pPr>
            <w:r>
              <w:t>1)</w:t>
            </w:r>
          </w:p>
          <w:p w14:paraId="4CC2E08F" w14:textId="77777777" w:rsidR="00A4312E" w:rsidRDefault="00A4312E">
            <w:pPr>
              <w:pStyle w:val="Obsahtabulky"/>
              <w:snapToGrid w:val="0"/>
            </w:pPr>
          </w:p>
          <w:p w14:paraId="6B2DA1DE" w14:textId="77777777" w:rsidR="00A4312E" w:rsidRDefault="00A4312E">
            <w:pPr>
              <w:pStyle w:val="Obsahtabulky"/>
            </w:pPr>
          </w:p>
        </w:tc>
        <w:tc>
          <w:tcPr>
            <w:tcW w:w="9838" w:type="dxa"/>
            <w:shd w:val="clear" w:color="auto" w:fill="auto"/>
          </w:tcPr>
          <w:p w14:paraId="50A7AC45" w14:textId="6D50ED81" w:rsidR="00A4312E" w:rsidRDefault="00A4312E" w:rsidP="002B24EA">
            <w:pPr>
              <w:tabs>
                <w:tab w:val="left" w:pos="11037"/>
              </w:tabs>
              <w:snapToGrid w:val="0"/>
              <w:spacing w:line="360" w:lineRule="auto"/>
            </w:pPr>
            <w:r>
              <w:rPr>
                <w:sz w:val="24"/>
                <w:szCs w:val="24"/>
              </w:rPr>
              <w:t xml:space="preserve">Pokud není ve smlouvě stanoveno jinak, řídí se práva a povinnosti účastníků smlouvy </w:t>
            </w:r>
            <w:r w:rsidR="002B24EA">
              <w:rPr>
                <w:sz w:val="24"/>
                <w:szCs w:val="24"/>
              </w:rPr>
              <w:t xml:space="preserve">právním řádem </w:t>
            </w:r>
            <w:r>
              <w:rPr>
                <w:sz w:val="24"/>
                <w:szCs w:val="24"/>
              </w:rPr>
              <w:t>České republiky.</w:t>
            </w:r>
            <w:r w:rsidR="002B24EA">
              <w:rPr>
                <w:sz w:val="24"/>
                <w:szCs w:val="24"/>
              </w:rPr>
              <w:t xml:space="preserve"> Případné spory budou řešeny obecnými soudy České republiky, podle procesních právních předpisů České republiky.</w:t>
            </w:r>
          </w:p>
        </w:tc>
      </w:tr>
      <w:tr w:rsidR="00A4312E" w14:paraId="6AC81623" w14:textId="77777777">
        <w:tc>
          <w:tcPr>
            <w:tcW w:w="367" w:type="dxa"/>
            <w:shd w:val="clear" w:color="auto" w:fill="auto"/>
          </w:tcPr>
          <w:p w14:paraId="581B7265" w14:textId="77777777" w:rsidR="00A4312E" w:rsidRDefault="00A4312E">
            <w:pPr>
              <w:pStyle w:val="Obsahtabulky"/>
              <w:snapToGrid w:val="0"/>
            </w:pPr>
            <w:r>
              <w:t>2)</w:t>
            </w:r>
          </w:p>
          <w:p w14:paraId="3000845A" w14:textId="77777777" w:rsidR="00A4312E" w:rsidRDefault="00A4312E">
            <w:pPr>
              <w:pStyle w:val="Obsahtabulky"/>
            </w:pPr>
          </w:p>
        </w:tc>
        <w:tc>
          <w:tcPr>
            <w:tcW w:w="9838" w:type="dxa"/>
            <w:shd w:val="clear" w:color="auto" w:fill="auto"/>
          </w:tcPr>
          <w:p w14:paraId="1EE24D9C" w14:textId="1969B094" w:rsidR="00A4312E" w:rsidRDefault="00A4312E">
            <w:pPr>
              <w:tabs>
                <w:tab w:val="left" w:pos="11037"/>
              </w:tabs>
              <w:snapToGrid w:val="0"/>
              <w:spacing w:line="360" w:lineRule="auto"/>
            </w:pPr>
            <w:r>
              <w:rPr>
                <w:sz w:val="24"/>
                <w:szCs w:val="24"/>
              </w:rPr>
              <w:t>Tuto smlouvu lze měnit pouze písemnými dodatky, které musí být podepsány všemi účastníky.</w:t>
            </w:r>
            <w:r w:rsidR="002B24EA">
              <w:rPr>
                <w:sz w:val="24"/>
                <w:szCs w:val="24"/>
              </w:rPr>
              <w:t xml:space="preserve"> Nedílnou součástí této smlouvy jsou přílohy – kopie platných osvědčení poskytovatele.</w:t>
            </w:r>
          </w:p>
        </w:tc>
      </w:tr>
      <w:tr w:rsidR="00A4312E" w14:paraId="0AA31CC9" w14:textId="77777777">
        <w:tc>
          <w:tcPr>
            <w:tcW w:w="367" w:type="dxa"/>
            <w:shd w:val="clear" w:color="auto" w:fill="auto"/>
          </w:tcPr>
          <w:p w14:paraId="19062CF6" w14:textId="77777777" w:rsidR="00A4312E" w:rsidRDefault="00A4312E">
            <w:pPr>
              <w:pStyle w:val="Obsahtabulky"/>
              <w:snapToGrid w:val="0"/>
            </w:pPr>
            <w:r>
              <w:lastRenderedPageBreak/>
              <w:t>3)</w:t>
            </w:r>
          </w:p>
          <w:p w14:paraId="1CF790BE" w14:textId="77777777" w:rsidR="00A4312E" w:rsidRDefault="00A4312E">
            <w:pPr>
              <w:pStyle w:val="Obsahtabulky"/>
            </w:pPr>
          </w:p>
        </w:tc>
        <w:tc>
          <w:tcPr>
            <w:tcW w:w="9838" w:type="dxa"/>
            <w:shd w:val="clear" w:color="auto" w:fill="auto"/>
          </w:tcPr>
          <w:p w14:paraId="6078856A" w14:textId="77777777" w:rsidR="00A4312E" w:rsidRDefault="00A4312E">
            <w:pPr>
              <w:tabs>
                <w:tab w:val="left" w:pos="11037"/>
              </w:tabs>
              <w:snapToGrid w:val="0"/>
              <w:spacing w:line="360" w:lineRule="auto"/>
            </w:pPr>
            <w:r>
              <w:rPr>
                <w:sz w:val="24"/>
                <w:szCs w:val="24"/>
              </w:rPr>
              <w:t>Účastníci potvrzují, že se s obsahem smlouvy dostatečně seznámili a že není uzavírána v tísni či za nápadně nevýhodných podmínek.</w:t>
            </w:r>
          </w:p>
        </w:tc>
      </w:tr>
      <w:tr w:rsidR="00A4312E" w14:paraId="6EDE5185" w14:textId="77777777">
        <w:tc>
          <w:tcPr>
            <w:tcW w:w="367" w:type="dxa"/>
            <w:shd w:val="clear" w:color="auto" w:fill="auto"/>
          </w:tcPr>
          <w:p w14:paraId="2E94065D" w14:textId="77777777" w:rsidR="00A4312E" w:rsidRDefault="00A4312E">
            <w:pPr>
              <w:pStyle w:val="Obsahtabulky"/>
              <w:snapToGrid w:val="0"/>
            </w:pPr>
            <w:r>
              <w:t>4)</w:t>
            </w:r>
          </w:p>
          <w:p w14:paraId="7FC4F23A" w14:textId="77777777" w:rsidR="00A4312E" w:rsidRDefault="00A4312E">
            <w:pPr>
              <w:pStyle w:val="Obsahtabulky"/>
            </w:pPr>
          </w:p>
        </w:tc>
        <w:tc>
          <w:tcPr>
            <w:tcW w:w="9838" w:type="dxa"/>
            <w:shd w:val="clear" w:color="auto" w:fill="auto"/>
          </w:tcPr>
          <w:p w14:paraId="418D901C" w14:textId="77777777" w:rsidR="00A4312E" w:rsidRDefault="00A4312E">
            <w:pPr>
              <w:tabs>
                <w:tab w:val="left" w:pos="11037"/>
              </w:tabs>
              <w:snapToGrid w:val="0"/>
              <w:spacing w:line="360" w:lineRule="auto"/>
            </w:pPr>
            <w:r>
              <w:rPr>
                <w:sz w:val="24"/>
                <w:szCs w:val="24"/>
              </w:rPr>
              <w:t>Tato smlouva byla sepsána ve dvou vyhotoveních, přičemž z nich obdrží po jednom každý z účastníků.</w:t>
            </w:r>
          </w:p>
        </w:tc>
      </w:tr>
    </w:tbl>
    <w:p w14:paraId="7A0517DA" w14:textId="77777777" w:rsidR="00F9318D" w:rsidRDefault="00F9318D" w:rsidP="00D05EEB">
      <w:pPr>
        <w:spacing w:line="360" w:lineRule="auto"/>
        <w:rPr>
          <w:sz w:val="24"/>
          <w:szCs w:val="24"/>
        </w:rPr>
      </w:pPr>
    </w:p>
    <w:p w14:paraId="61EA42DE" w14:textId="7CC0522B" w:rsidR="00A4312E" w:rsidRDefault="00A4312E" w:rsidP="00D05E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</w:t>
      </w:r>
      <w:r w:rsidR="002B24EA">
        <w:rPr>
          <w:sz w:val="24"/>
          <w:szCs w:val="24"/>
        </w:rPr>
        <w:t xml:space="preserve">Jičíně </w:t>
      </w:r>
      <w:r w:rsidR="00FE3726">
        <w:rPr>
          <w:sz w:val="24"/>
          <w:szCs w:val="24"/>
        </w:rPr>
        <w:t>dne</w:t>
      </w:r>
      <w:r w:rsidR="00805752">
        <w:rPr>
          <w:sz w:val="24"/>
          <w:szCs w:val="24"/>
        </w:rPr>
        <w:t xml:space="preserve"> </w:t>
      </w:r>
      <w:r w:rsidR="00CA483C">
        <w:rPr>
          <w:sz w:val="24"/>
          <w:szCs w:val="24"/>
        </w:rPr>
        <w:t>26</w:t>
      </w:r>
      <w:r w:rsidR="00572E8F">
        <w:rPr>
          <w:sz w:val="24"/>
          <w:szCs w:val="24"/>
        </w:rPr>
        <w:t>.0</w:t>
      </w:r>
      <w:r w:rsidR="00CA483C">
        <w:rPr>
          <w:sz w:val="24"/>
          <w:szCs w:val="24"/>
        </w:rPr>
        <w:t>6</w:t>
      </w:r>
      <w:r w:rsidR="00572E8F">
        <w:rPr>
          <w:sz w:val="24"/>
          <w:szCs w:val="24"/>
        </w:rPr>
        <w:t>.2024</w:t>
      </w:r>
    </w:p>
    <w:p w14:paraId="731419AF" w14:textId="77777777" w:rsidR="0003354C" w:rsidRDefault="0003354C" w:rsidP="00D05EEB">
      <w:pPr>
        <w:spacing w:line="360" w:lineRule="auto"/>
        <w:rPr>
          <w:sz w:val="24"/>
          <w:szCs w:val="24"/>
        </w:rPr>
      </w:pPr>
    </w:p>
    <w:p w14:paraId="652A4303" w14:textId="77777777" w:rsidR="00A26738" w:rsidRDefault="00A26738" w:rsidP="00D05EEB">
      <w:pPr>
        <w:spacing w:line="360" w:lineRule="auto"/>
        <w:rPr>
          <w:sz w:val="24"/>
          <w:szCs w:val="24"/>
        </w:rPr>
      </w:pPr>
    </w:p>
    <w:tbl>
      <w:tblPr>
        <w:tblW w:w="0" w:type="auto"/>
        <w:tblInd w:w="7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8"/>
        <w:gridCol w:w="1815"/>
        <w:gridCol w:w="3629"/>
      </w:tblGrid>
      <w:tr w:rsidR="00A4312E" w14:paraId="17E53BA3" w14:textId="77777777">
        <w:tc>
          <w:tcPr>
            <w:tcW w:w="3628" w:type="dxa"/>
            <w:shd w:val="clear" w:color="auto" w:fill="auto"/>
          </w:tcPr>
          <w:p w14:paraId="2159AE6C" w14:textId="77777777" w:rsidR="00A4312E" w:rsidRDefault="00A4312E">
            <w:pPr>
              <w:pStyle w:val="Obsahtabulky"/>
              <w:snapToGrid w:val="0"/>
              <w:spacing w:line="360" w:lineRule="auto"/>
              <w:jc w:val="center"/>
            </w:pPr>
          </w:p>
        </w:tc>
        <w:tc>
          <w:tcPr>
            <w:tcW w:w="1815" w:type="dxa"/>
            <w:shd w:val="clear" w:color="auto" w:fill="auto"/>
          </w:tcPr>
          <w:p w14:paraId="08852108" w14:textId="77777777" w:rsidR="00A4312E" w:rsidRDefault="00A4312E">
            <w:pPr>
              <w:pStyle w:val="Obsahtabulky"/>
              <w:snapToGrid w:val="0"/>
              <w:spacing w:line="360" w:lineRule="auto"/>
              <w:jc w:val="center"/>
            </w:pPr>
          </w:p>
        </w:tc>
        <w:tc>
          <w:tcPr>
            <w:tcW w:w="3629" w:type="dxa"/>
            <w:shd w:val="clear" w:color="auto" w:fill="auto"/>
          </w:tcPr>
          <w:p w14:paraId="7650E16E" w14:textId="77777777" w:rsidR="00A4312E" w:rsidRDefault="00A4312E">
            <w:pPr>
              <w:pStyle w:val="Obsahtabulky"/>
              <w:snapToGrid w:val="0"/>
              <w:spacing w:line="360" w:lineRule="auto"/>
              <w:jc w:val="center"/>
            </w:pPr>
          </w:p>
        </w:tc>
      </w:tr>
      <w:tr w:rsidR="00A4312E" w14:paraId="08671E51" w14:textId="77777777">
        <w:tc>
          <w:tcPr>
            <w:tcW w:w="3628" w:type="dxa"/>
            <w:tcBorders>
              <w:top w:val="single" w:sz="1" w:space="0" w:color="000000"/>
            </w:tcBorders>
            <w:shd w:val="clear" w:color="auto" w:fill="auto"/>
          </w:tcPr>
          <w:p w14:paraId="502DADA9" w14:textId="77777777" w:rsidR="00A4312E" w:rsidRPr="00572E8F" w:rsidRDefault="00A4312E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572E8F">
              <w:rPr>
                <w:sz w:val="24"/>
              </w:rPr>
              <w:t>poskytovatel</w:t>
            </w:r>
          </w:p>
          <w:p w14:paraId="036C173F" w14:textId="77777777" w:rsidR="00A4312E" w:rsidRDefault="00A4312E">
            <w:pPr>
              <w:spacing w:line="360" w:lineRule="auto"/>
              <w:jc w:val="center"/>
            </w:pPr>
            <w:r>
              <w:t>Ing. Tadeáš Narovec</w:t>
            </w:r>
          </w:p>
        </w:tc>
        <w:tc>
          <w:tcPr>
            <w:tcW w:w="1815" w:type="dxa"/>
            <w:shd w:val="clear" w:color="auto" w:fill="auto"/>
          </w:tcPr>
          <w:p w14:paraId="64C4801C" w14:textId="77777777" w:rsidR="00A4312E" w:rsidRDefault="00A4312E">
            <w:pPr>
              <w:pStyle w:val="Obsahtabulky"/>
              <w:snapToGrid w:val="0"/>
              <w:spacing w:line="360" w:lineRule="auto"/>
              <w:jc w:val="center"/>
            </w:pPr>
          </w:p>
        </w:tc>
        <w:tc>
          <w:tcPr>
            <w:tcW w:w="3629" w:type="dxa"/>
            <w:tcBorders>
              <w:top w:val="single" w:sz="1" w:space="0" w:color="000000"/>
            </w:tcBorders>
            <w:shd w:val="clear" w:color="auto" w:fill="auto"/>
          </w:tcPr>
          <w:p w14:paraId="25215D9E" w14:textId="094EF1C5" w:rsidR="002B24EA" w:rsidRPr="00F9318D" w:rsidRDefault="002B24E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F9318D">
              <w:rPr>
                <w:sz w:val="24"/>
                <w:szCs w:val="24"/>
              </w:rPr>
              <w:t>k</w:t>
            </w:r>
            <w:r w:rsidR="00A4312E" w:rsidRPr="00F9318D">
              <w:rPr>
                <w:sz w:val="24"/>
                <w:szCs w:val="24"/>
              </w:rPr>
              <w:t>lient</w:t>
            </w:r>
          </w:p>
          <w:p w14:paraId="40DFC38B" w14:textId="07AF1EBA" w:rsidR="002B24EA" w:rsidRDefault="002B24EA" w:rsidP="00F9318D">
            <w:pPr>
              <w:snapToGrid w:val="0"/>
              <w:spacing w:line="360" w:lineRule="auto"/>
              <w:jc w:val="center"/>
            </w:pPr>
            <w:r>
              <w:t>Vodohospodář</w:t>
            </w:r>
            <w:r w:rsidR="00F9318D">
              <w:t>s</w:t>
            </w:r>
            <w:r>
              <w:t>ká a obchodní společnost, a.s</w:t>
            </w:r>
            <w:r w:rsidR="00F9318D">
              <w:t>.</w:t>
            </w:r>
            <w:r>
              <w:t xml:space="preserve"> </w:t>
            </w:r>
          </w:p>
          <w:p w14:paraId="48268272" w14:textId="45AB5B6A" w:rsidR="00B2744C" w:rsidRDefault="00805752" w:rsidP="002B24EA">
            <w:pPr>
              <w:snapToGrid w:val="0"/>
              <w:spacing w:line="360" w:lineRule="auto"/>
            </w:pPr>
            <w:r w:rsidRPr="00805752">
              <w:t>JUDr. J</w:t>
            </w:r>
            <w:r w:rsidR="002B24EA">
              <w:t>an Malý,</w:t>
            </w:r>
            <w:r>
              <w:t xml:space="preserve"> </w:t>
            </w:r>
            <w:r w:rsidRPr="00805752">
              <w:t>předseda představenstva</w:t>
            </w:r>
          </w:p>
        </w:tc>
      </w:tr>
    </w:tbl>
    <w:p w14:paraId="7702C72A" w14:textId="77777777" w:rsidR="00A4312E" w:rsidRDefault="00A4312E">
      <w:pPr>
        <w:spacing w:line="360" w:lineRule="auto"/>
        <w:jc w:val="both"/>
      </w:pPr>
    </w:p>
    <w:sectPr w:rsidR="00A4312E">
      <w:headerReference w:type="default" r:id="rId8"/>
      <w:footerReference w:type="default" r:id="rId9"/>
      <w:pgSz w:w="11906" w:h="16838"/>
      <w:pgMar w:top="1133" w:right="567" w:bottom="107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CD128" w14:textId="77777777" w:rsidR="00361276" w:rsidRDefault="00361276">
      <w:r>
        <w:separator/>
      </w:r>
    </w:p>
  </w:endnote>
  <w:endnote w:type="continuationSeparator" w:id="0">
    <w:p w14:paraId="7F801866" w14:textId="77777777" w:rsidR="00361276" w:rsidRDefault="00361276">
      <w:r>
        <w:continuationSeparator/>
      </w:r>
    </w:p>
  </w:endnote>
  <w:endnote w:type="continuationNotice" w:id="1">
    <w:p w14:paraId="3C1F3711" w14:textId="77777777" w:rsidR="00361276" w:rsidRDefault="00361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C3437" w14:textId="59DEB9E3" w:rsidR="00A4312E" w:rsidRDefault="00A4312E">
    <w:pPr>
      <w:pStyle w:val="Zpat"/>
      <w:jc w:val="center"/>
    </w:pPr>
    <w:r>
      <w:rPr>
        <w:sz w:val="18"/>
        <w:szCs w:val="18"/>
      </w:rPr>
      <w:t xml:space="preserve">Strana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11640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, počet stran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 ARABIC </w:instrText>
    </w:r>
    <w:r>
      <w:rPr>
        <w:sz w:val="18"/>
        <w:szCs w:val="18"/>
      </w:rPr>
      <w:fldChar w:fldCharType="separate"/>
    </w:r>
    <w:r w:rsidR="00711640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04E6F" w14:textId="77777777" w:rsidR="00361276" w:rsidRDefault="00361276">
      <w:r>
        <w:separator/>
      </w:r>
    </w:p>
  </w:footnote>
  <w:footnote w:type="continuationSeparator" w:id="0">
    <w:p w14:paraId="5CC1ECCE" w14:textId="77777777" w:rsidR="00361276" w:rsidRDefault="00361276">
      <w:r>
        <w:continuationSeparator/>
      </w:r>
    </w:p>
  </w:footnote>
  <w:footnote w:type="continuationNotice" w:id="1">
    <w:p w14:paraId="0F9C8B8F" w14:textId="77777777" w:rsidR="00361276" w:rsidRDefault="003612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28E6" w14:textId="77777777" w:rsidR="00A4312E" w:rsidRDefault="00A4312E">
    <w:pPr>
      <w:pStyle w:val="Obsahtabulky"/>
      <w:jc w:val="center"/>
    </w:pPr>
    <w:r>
      <w:rPr>
        <w:b/>
        <w:bCs/>
        <w:sz w:val="24"/>
        <w:szCs w:val="24"/>
      </w:rPr>
      <w:t xml:space="preserve">Smlouva o poskytování služeb bezpečnostního poradce </w:t>
    </w:r>
    <w:r w:rsidR="00FE3726">
      <w:rPr>
        <w:b/>
        <w:bCs/>
        <w:sz w:val="24"/>
        <w:szCs w:val="24"/>
      </w:rPr>
      <w:t>DGSA – ADR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70A53F6A"/>
    <w:multiLevelType w:val="hybridMultilevel"/>
    <w:tmpl w:val="4092904A"/>
    <w:lvl w:ilvl="0" w:tplc="E53E215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396583144">
    <w:abstractNumId w:val="0"/>
  </w:num>
  <w:num w:numId="2" w16cid:durableId="152455137">
    <w:abstractNumId w:val="1"/>
  </w:num>
  <w:num w:numId="3" w16cid:durableId="1056972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Uo+gduSD3zy37Oqr1ApODmdRm1Nq41qBja8kjBcYVZ39KsfFw73iqxTcdDIqopTc3Z+gRVs6kiPhu0yTof4bDQ==" w:salt="g1ikDKmEDp8xABVtOHssVg==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40"/>
    <w:rsid w:val="0003354C"/>
    <w:rsid w:val="000F343E"/>
    <w:rsid w:val="000F6D3A"/>
    <w:rsid w:val="000F78A9"/>
    <w:rsid w:val="00107D7C"/>
    <w:rsid w:val="0011025E"/>
    <w:rsid w:val="00114E7A"/>
    <w:rsid w:val="0021307F"/>
    <w:rsid w:val="002821C1"/>
    <w:rsid w:val="002B24EA"/>
    <w:rsid w:val="002D2A48"/>
    <w:rsid w:val="002F5EE4"/>
    <w:rsid w:val="00361276"/>
    <w:rsid w:val="00396240"/>
    <w:rsid w:val="003D2D90"/>
    <w:rsid w:val="00455AC3"/>
    <w:rsid w:val="0046204E"/>
    <w:rsid w:val="004D7895"/>
    <w:rsid w:val="00572E8F"/>
    <w:rsid w:val="005C36DB"/>
    <w:rsid w:val="005D192E"/>
    <w:rsid w:val="00616615"/>
    <w:rsid w:val="00636101"/>
    <w:rsid w:val="00671950"/>
    <w:rsid w:val="0068022A"/>
    <w:rsid w:val="006B5DFA"/>
    <w:rsid w:val="00711640"/>
    <w:rsid w:val="00715808"/>
    <w:rsid w:val="007A42AC"/>
    <w:rsid w:val="00805752"/>
    <w:rsid w:val="00834191"/>
    <w:rsid w:val="00854046"/>
    <w:rsid w:val="008D1574"/>
    <w:rsid w:val="008D3542"/>
    <w:rsid w:val="008F7DB5"/>
    <w:rsid w:val="00904D43"/>
    <w:rsid w:val="00972903"/>
    <w:rsid w:val="009A5FC5"/>
    <w:rsid w:val="009B3558"/>
    <w:rsid w:val="009E5BED"/>
    <w:rsid w:val="00A26738"/>
    <w:rsid w:val="00A4312E"/>
    <w:rsid w:val="00AB0AE9"/>
    <w:rsid w:val="00AD3C13"/>
    <w:rsid w:val="00AE1AA9"/>
    <w:rsid w:val="00B2744C"/>
    <w:rsid w:val="00B52D1E"/>
    <w:rsid w:val="00B92427"/>
    <w:rsid w:val="00BB39C5"/>
    <w:rsid w:val="00BC250A"/>
    <w:rsid w:val="00BD4C8E"/>
    <w:rsid w:val="00C0101D"/>
    <w:rsid w:val="00CA483C"/>
    <w:rsid w:val="00CA59AF"/>
    <w:rsid w:val="00D05EEB"/>
    <w:rsid w:val="00D401BD"/>
    <w:rsid w:val="00D4139E"/>
    <w:rsid w:val="00D72DA2"/>
    <w:rsid w:val="00D87AB8"/>
    <w:rsid w:val="00DF1DE2"/>
    <w:rsid w:val="00E04CC2"/>
    <w:rsid w:val="00E75A23"/>
    <w:rsid w:val="00F9318D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FE7681"/>
  <w15:docId w15:val="{2FB07F01-E479-48C2-A47D-8F1B870B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4">
    <w:name w:val="Standardní písmo odstavce4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5z0">
    <w:name w:val="WW8Num5z0"/>
    <w:rPr>
      <w:rFonts w:ascii="Verdana" w:hAnsi="Verdana" w:cs="Times New Roman"/>
      <w:b/>
      <w:i w:val="0"/>
      <w:sz w:val="20"/>
      <w:szCs w:val="24"/>
      <w:u w:val="none"/>
    </w:rPr>
  </w:style>
  <w:style w:type="character" w:customStyle="1" w:styleId="WW8Num6z0">
    <w:name w:val="WW8Num6z0"/>
    <w:rPr>
      <w:rFonts w:ascii="Verdana" w:hAnsi="Verdana" w:cs="Times New Roman"/>
      <w:b/>
      <w:i w:val="0"/>
      <w:sz w:val="20"/>
      <w:szCs w:val="24"/>
      <w:u w:val="none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8NumSt5z0">
    <w:name w:val="WW8NumSt5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9z0">
    <w:name w:val="WW8NumSt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lang w:eastAsia="zh-CN"/>
    </w:rPr>
  </w:style>
  <w:style w:type="character" w:customStyle="1" w:styleId="PedmtkomenteChar">
    <w:name w:val="Předmět komentáře Char"/>
    <w:rPr>
      <w:b/>
      <w:bCs/>
      <w:lang w:eastAsia="zh-CN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hAnsi="Tahoma" w:cs="Tahoma"/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Tahoma" w:hAnsi="Tahoma" w:cs="Tahoma"/>
      <w:sz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ascii="Tahoma" w:hAnsi="Tahoma" w:cs="Tahoma"/>
      <w:i/>
      <w:iCs/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535"/>
        <w:tab w:val="right" w:pos="9071"/>
      </w:tabs>
    </w:p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Vodorovnra">
    <w:name w:val="Vodorovná čára"/>
    <w:basedOn w:val="Normln"/>
    <w:next w:val="Zkladntext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smlouva2sloupce">
    <w:name w:val="smlouva_2_sloupce"/>
    <w:basedOn w:val="Normln"/>
  </w:style>
  <w:style w:type="paragraph" w:customStyle="1" w:styleId="smlouvaBPucastnici">
    <w:name w:val="smlouva_BP_ucastnici"/>
    <w:basedOn w:val="Normln"/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B39C5"/>
    <w:rPr>
      <w:lang w:eastAsia="zh-CN"/>
    </w:rPr>
  </w:style>
  <w:style w:type="character" w:styleId="Odkaznakoment">
    <w:name w:val="annotation reference"/>
    <w:uiPriority w:val="99"/>
    <w:semiHidden/>
    <w:unhideWhenUsed/>
    <w:rsid w:val="0097290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972903"/>
  </w:style>
  <w:style w:type="character" w:customStyle="1" w:styleId="TextkomenteChar1">
    <w:name w:val="Text komentáře Char1"/>
    <w:link w:val="Textkomente"/>
    <w:uiPriority w:val="99"/>
    <w:semiHidden/>
    <w:rsid w:val="00972903"/>
    <w:rPr>
      <w:lang w:eastAsia="zh-CN"/>
    </w:rPr>
  </w:style>
  <w:style w:type="paragraph" w:styleId="Odstavecseseznamem">
    <w:name w:val="List Paragraph"/>
    <w:basedOn w:val="Normln"/>
    <w:uiPriority w:val="34"/>
    <w:qFormat/>
    <w:rsid w:val="00854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9EAB-ED1B-4DB9-9EF5-A8D335EE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1436</Words>
  <Characters>8479</Characters>
  <Application>Microsoft Office Word</Application>
  <DocSecurity>8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Tadeáš Narovec</dc:creator>
  <cp:lastModifiedBy>Eva Janatová</cp:lastModifiedBy>
  <cp:revision>3</cp:revision>
  <cp:lastPrinted>2023-06-11T20:07:00Z</cp:lastPrinted>
  <dcterms:created xsi:type="dcterms:W3CDTF">2024-07-15T05:49:00Z</dcterms:created>
  <dcterms:modified xsi:type="dcterms:W3CDTF">2024-07-15T06:46:00Z</dcterms:modified>
</cp:coreProperties>
</file>