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62" w:after="0" w:line="321" w:lineRule="exact"/>
        <w:ind w:right="0" w:left="72" w:firstLine="0"/>
        <w:jc w:val="center"/>
        <w:textAlignment w:val="baseline"/>
        <w:rPr>
          <w:rFonts w:ascii="Gill Sans MT" w:hAnsi="Gill Sans MT" w:eastAsia="Gill Sans MT"/>
          <w:b w:val="true"/>
          <w:color w:val="000000"/>
          <w:spacing w:val="0"/>
          <w:w w:val="100"/>
          <w:sz w:val="25"/>
          <w:vertAlign w:val="baseline"/>
          <w:lang w:val="cs-CZ"/>
        </w:rPr>
      </w:pPr>
      <w:r>
        <w:rPr>
          <w:rFonts w:ascii="Gill Sans MT" w:hAnsi="Gill Sans MT" w:eastAsia="Gill Sans MT"/>
          <w:b w:val="true"/>
          <w:color w:val="000000"/>
          <w:spacing w:val="0"/>
          <w:w w:val="100"/>
          <w:sz w:val="25"/>
          <w:vertAlign w:val="baseline"/>
          <w:lang w:val="cs-CZ"/>
        </w:rPr>
        <w:t xml:space="preserve">SMLOUVA O SDRU</w:t>
      </w:r>
      <w:r>
        <w:rPr>
          <w:rFonts w:ascii="Gill Sans MT" w:hAnsi="Gill Sans MT" w:eastAsia="Gill Sans MT"/>
          <w:b w:val="true"/>
          <w:color w:val="000000"/>
          <w:spacing w:val="0"/>
          <w:w w:val="100"/>
          <w:sz w:val="24"/>
          <w:vertAlign w:val="baseline"/>
          <w:lang w:val="cs-CZ"/>
        </w:rPr>
        <w:t xml:space="preserve">Ž</w:t>
      </w:r>
      <w:r>
        <w:rPr>
          <w:rFonts w:ascii="Gill Sans MT" w:hAnsi="Gill Sans MT" w:eastAsia="Gill Sans MT"/>
          <w:b w:val="true"/>
          <w:color w:val="000000"/>
          <w:spacing w:val="0"/>
          <w:w w:val="100"/>
          <w:sz w:val="25"/>
          <w:vertAlign w:val="baseline"/>
          <w:lang w:val="cs-CZ"/>
        </w:rPr>
        <w:t xml:space="preserve">ENÝCH SLU</w:t>
      </w:r>
      <w:r>
        <w:rPr>
          <w:rFonts w:ascii="Gill Sans MT" w:hAnsi="Gill Sans MT" w:eastAsia="Gill Sans MT"/>
          <w:b w:val="true"/>
          <w:color w:val="000000"/>
          <w:spacing w:val="0"/>
          <w:w w:val="100"/>
          <w:sz w:val="24"/>
          <w:vertAlign w:val="baseline"/>
          <w:lang w:val="cs-CZ"/>
        </w:rPr>
        <w:t xml:space="preserve">Ž</w:t>
      </w:r>
      <w:r>
        <w:rPr>
          <w:rFonts w:ascii="Gill Sans MT" w:hAnsi="Gill Sans MT" w:eastAsia="Gill Sans MT"/>
          <w:b w:val="true"/>
          <w:color w:val="000000"/>
          <w:spacing w:val="0"/>
          <w:w w:val="100"/>
          <w:sz w:val="25"/>
          <w:vertAlign w:val="baseline"/>
          <w:lang w:val="cs-CZ"/>
        </w:rPr>
        <w:t xml:space="preserve">BÁCH</w:t>
        <w:br/>
      </w:r>
      <w:r>
        <w:rPr>
          <w:rFonts w:ascii="Gill Sans MT" w:hAnsi="Gill Sans MT" w:eastAsia="Gill Sans MT"/>
          <w:b w:val="true"/>
          <w:color w:val="000000"/>
          <w:spacing w:val="0"/>
          <w:w w:val="100"/>
          <w:sz w:val="25"/>
          <w:vertAlign w:val="baseline"/>
          <w:lang w:val="cs-CZ"/>
        </w:rPr>
        <w:t xml:space="preserve">DODÁVKY ZEMNÍHO PLYNU</w:t>
      </w:r>
    </w:p>
    <w:p>
      <w:pPr>
        <w:spacing w:before="42" w:after="0" w:line="280" w:lineRule="exact"/>
        <w:ind w:right="0" w:left="72" w:firstLine="0"/>
        <w:jc w:val="center"/>
        <w:textAlignment w:val="baseline"/>
        <w:rPr>
          <w:rFonts w:ascii="Gill Sans MT" w:hAnsi="Gill Sans MT" w:eastAsia="Gill Sans MT"/>
          <w:b w:val="true"/>
          <w:color w:val="000000"/>
          <w:spacing w:val="-5"/>
          <w:w w:val="100"/>
          <w:sz w:val="25"/>
          <w:vertAlign w:val="baseline"/>
          <w:lang w:val="cs-CZ"/>
        </w:rPr>
      </w:pPr>
      <w:r>
        <w:rPr>
          <w:rFonts w:ascii="Gill Sans MT" w:hAnsi="Gill Sans MT" w:eastAsia="Gill Sans MT"/>
          <w:b w:val="true"/>
          <w:color w:val="000000"/>
          <w:spacing w:val="-5"/>
          <w:w w:val="100"/>
          <w:sz w:val="25"/>
          <w:vertAlign w:val="baseline"/>
          <w:lang w:val="cs-CZ"/>
        </w:rPr>
        <w:t xml:space="preserve">(kategorie MALOODBĚRATEL do 630 MWh/rok)</w:t>
      </w:r>
    </w:p>
    <w:p>
      <w:pPr>
        <w:spacing w:before="328" w:after="0" w:line="258" w:lineRule="exact"/>
        <w:ind w:right="0" w:left="72" w:firstLine="0"/>
        <w:jc w:val="center"/>
        <w:textAlignment w:val="baseline"/>
        <w:rPr>
          <w:rFonts w:ascii="Gill Sans MT" w:hAnsi="Gill Sans MT" w:eastAsia="Gill Sans MT"/>
          <w:color w:val="000000"/>
          <w:spacing w:val="-1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-1"/>
          <w:w w:val="100"/>
          <w:sz w:val="22"/>
          <w:vertAlign w:val="baseline"/>
          <w:lang w:val="cs-CZ"/>
        </w:rPr>
        <w:t xml:space="preserve">uzavřená mezi</w:t>
      </w:r>
    </w:p>
    <w:p>
      <w:pPr>
        <w:spacing w:before="328" w:after="0" w:line="262" w:lineRule="exact"/>
        <w:ind w:right="0" w:left="72" w:firstLine="0"/>
        <w:jc w:val="left"/>
        <w:textAlignment w:val="baseline"/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  <w:t xml:space="preserve">Pra</w:t>
      </w:r>
      <w:r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  <w:t xml:space="preserve">ž</w:t>
      </w:r>
      <w:r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  <w:t xml:space="preserve">ská plynárenská, a. s.</w:t>
      </w:r>
    </w:p>
    <w:p>
      <w:pPr>
        <w:spacing w:before="35" w:after="0" w:line="258" w:lineRule="exact"/>
        <w:ind w:right="0" w:left="72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Se sídlem: Praha 1 – Nové Město, Národní 37, PSČ 110 00</w:t>
      </w:r>
    </w:p>
    <w:p>
      <w:pPr>
        <w:spacing w:before="35" w:after="0" w:line="258" w:lineRule="exact"/>
        <w:ind w:right="0" w:left="72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IČO: 60193492, DIČ: CZ60193492</w:t>
      </w:r>
    </w:p>
    <w:p>
      <w:pPr>
        <w:spacing w:before="35" w:after="0" w:line="258" w:lineRule="exact"/>
        <w:ind w:right="0" w:left="72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Zastoupená na základě plné moci: 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XXXXXXX</w:t>
      </w:r>
    </w:p>
    <w:p>
      <w:pPr>
        <w:spacing w:before="40" w:after="0" w:line="258" w:lineRule="exact"/>
        <w:ind w:right="0" w:left="72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Společnost zapsána v obchodním rejstříku, vedeném Městským soudem v Praze, oddíl B, vložka 2337</w:t>
      </w:r>
    </w:p>
    <w:p>
      <w:pPr>
        <w:tabs>
          <w:tab w:val="left" w:leader="none" w:pos="2160"/>
        </w:tabs>
        <w:spacing w:before="0" w:after="0" w:line="290" w:lineRule="exact"/>
        <w:ind w:right="0" w:left="72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Bankovní spojení:	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Československá obchodní banka, a.s.</w:t>
        <w:br/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Číslo účtu / kód banky: 117671123 / 0300 (CZK)</w:t>
      </w:r>
    </w:p>
    <w:p>
      <w:pPr>
        <w:tabs>
          <w:tab w:val="left" w:leader="none" w:pos="2160"/>
        </w:tabs>
        <w:spacing w:before="45" w:after="0" w:line="253" w:lineRule="exact"/>
        <w:ind w:right="0" w:left="72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Kontaktní osoba:	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XXXXXXXX</w:t>
      </w:r>
    </w:p>
    <w:p>
      <w:pPr>
        <w:spacing w:before="40" w:after="0" w:line="253" w:lineRule="exact"/>
        <w:ind w:right="0" w:left="2160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mobil: XXXXXXXX tel: XXXXXX</w:t>
      </w:r>
    </w:p>
    <w:p>
      <w:pPr>
        <w:spacing w:before="40" w:after="0" w:line="253" w:lineRule="exact"/>
        <w:ind w:right="0" w:left="2160" w:firstLine="0"/>
        <w:jc w:val="left"/>
        <w:textAlignment w:val="baseline"/>
        <w:rPr>
          <w:rFonts w:ascii="Gill Sans MT" w:hAnsi="Gill Sans MT" w:eastAsia="Gill Sans MT"/>
          <w:color w:val="000000"/>
          <w:spacing w:val="77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77"/>
          <w:w w:val="100"/>
          <w:sz w:val="22"/>
          <w:vertAlign w:val="baseline"/>
          <w:lang w:val="cs-CZ"/>
        </w:rPr>
        <w:t xml:space="preserve">email:</w:t>
      </w:r>
      <w:r>
        <w:rPr>
          <w:rFonts w:ascii="Gill Sans MT" w:hAnsi="Gill Sans MT" w:eastAsia="Gill Sans MT"/>
          <w:color w:val="000000"/>
          <w:spacing w:val="77"/>
          <w:w w:val="100"/>
          <w:sz w:val="22"/>
          <w:u w:val="single"/>
          <w:vertAlign w:val="baseline"/>
          <w:lang w:val="cs-CZ"/>
        </w:rPr>
        <w:t xml:space="preserve">XXXX </w:t>
      </w:r>
      <w:r>
        <w:rPr>
          <w:rFonts w:ascii="Gill Sans MT" w:hAnsi="Gill Sans MT" w:eastAsia="Gill Sans MT"/>
          <w:color w:val="000000"/>
          <w:spacing w:val="77"/>
          <w:w w:val="100"/>
          <w:sz w:val="22"/>
          <w:vertAlign w:val="baseline"/>
          <w:lang w:val="cs-CZ"/>
        </w:rPr>
        <w:t xml:space="preserve">
</w:t>
      </w:r>
    </w:p>
    <w:p>
      <w:pPr>
        <w:spacing w:before="39" w:after="0" w:line="253" w:lineRule="exact"/>
        <w:ind w:right="0" w:left="72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(dále jen </w:t>
      </w:r>
      <w:r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  <w:t xml:space="preserve">„Obchodník“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)</w:t>
      </w:r>
    </w:p>
    <w:p>
      <w:pPr>
        <w:spacing w:before="333" w:after="0" w:line="253" w:lineRule="exact"/>
        <w:ind w:right="0" w:left="72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a</w:t>
      </w:r>
    </w:p>
    <w:p>
      <w:pPr>
        <w:spacing w:before="333" w:after="0" w:line="251" w:lineRule="exact"/>
        <w:ind w:right="0" w:left="72" w:firstLine="0"/>
        <w:jc w:val="left"/>
        <w:textAlignment w:val="baseline"/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  <w:t xml:space="preserve">Pelhřimovská vodárenská s.r.o.</w:t>
      </w:r>
    </w:p>
    <w:p>
      <w:pPr>
        <w:spacing w:before="41" w:after="0" w:line="258" w:lineRule="exact"/>
        <w:ind w:right="0" w:left="72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Se sídlem: Radětínská 1158, 393 01 Pelhřimov</w:t>
      </w:r>
    </w:p>
    <w:p>
      <w:pPr>
        <w:spacing w:before="35" w:after="0" w:line="258" w:lineRule="exact"/>
        <w:ind w:right="0" w:left="72" w:firstLine="0"/>
        <w:jc w:val="left"/>
        <w:textAlignment w:val="baseline"/>
        <w:rPr>
          <w:rFonts w:ascii="Gill Sans MT" w:hAnsi="Gill Sans MT" w:eastAsia="Gill Sans MT"/>
          <w:color w:val="000000"/>
          <w:spacing w:val="-1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-1"/>
          <w:w w:val="100"/>
          <w:sz w:val="22"/>
          <w:vertAlign w:val="baseline"/>
          <w:lang w:val="cs-CZ"/>
        </w:rPr>
        <w:t xml:space="preserve">IČO: 04605683, DIČ: CZ </w:t>
      </w:r>
      <w:r>
        <w:rPr>
          <w:rFonts w:ascii="Gill Sans MT" w:hAnsi="Gill Sans MT" w:eastAsia="Gill Sans MT"/>
          <w:color w:val="000000"/>
          <w:spacing w:val="-1"/>
          <w:w w:val="100"/>
          <w:sz w:val="22"/>
          <w:vertAlign w:val="baseline"/>
          <w:lang w:val="cs-CZ"/>
        </w:rPr>
        <w:t xml:space="preserve">04605683</w:t>
      </w:r>
    </w:p>
    <w:p>
      <w:pPr>
        <w:tabs>
          <w:tab w:val="left" w:leader="none" w:pos="2880"/>
        </w:tabs>
        <w:spacing w:before="30" w:after="0" w:line="263" w:lineRule="exact"/>
        <w:ind w:right="0" w:left="72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Zastoupená:	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Ing. Vlastimil 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Š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ebesta, jednatel</w:t>
      </w:r>
    </w:p>
    <w:p>
      <w:pPr>
        <w:tabs>
          <w:tab w:val="left" w:leader="none" w:pos="2880"/>
        </w:tabs>
        <w:spacing w:before="35" w:after="0" w:line="258" w:lineRule="exact"/>
        <w:ind w:right="0" w:left="72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Spisová značka:	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C 24345 vedená u Krajského soudu v Českých Budějovicích</w:t>
      </w:r>
    </w:p>
    <w:p>
      <w:pPr>
        <w:tabs>
          <w:tab w:val="left" w:leader="none" w:pos="2160"/>
        </w:tabs>
        <w:spacing w:before="34" w:after="0" w:line="258" w:lineRule="exact"/>
        <w:ind w:right="0" w:left="72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Bankovní spojení:	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viz Příloha A 1 – Specifikace Odběrných míst Zákazníka</w:t>
      </w:r>
    </w:p>
    <w:p>
      <w:pPr>
        <w:spacing w:before="35" w:after="0" w:line="258" w:lineRule="exact"/>
        <w:ind w:right="0" w:left="72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Číslo účtu / kód banky: viz Příloha A 1 – Specifikace Odběrných míst Zákazníka</w:t>
      </w:r>
    </w:p>
    <w:p>
      <w:pPr>
        <w:spacing w:before="35" w:after="0" w:line="258" w:lineRule="exact"/>
        <w:ind w:right="0" w:left="72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Adresa k zasílání fakturace a veškerých sdělení určených Zákazníkovi: viz Příloha A 1 – Specifikace Odběrných míst</w:t>
      </w:r>
    </w:p>
    <w:p>
      <w:pPr>
        <w:spacing w:before="40" w:after="0" w:line="253" w:lineRule="exact"/>
        <w:ind w:right="0" w:left="72" w:firstLine="0"/>
        <w:jc w:val="left"/>
        <w:textAlignment w:val="baseline"/>
        <w:rPr>
          <w:rFonts w:ascii="Gill Sans MT" w:hAnsi="Gill Sans MT" w:eastAsia="Gill Sans MT"/>
          <w:color w:val="000000"/>
          <w:spacing w:val="-1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-1"/>
          <w:w w:val="100"/>
          <w:sz w:val="22"/>
          <w:vertAlign w:val="baseline"/>
          <w:lang w:val="cs-CZ"/>
        </w:rPr>
        <w:t xml:space="preserve">Zákazníka</w:t>
      </w:r>
    </w:p>
    <w:p>
      <w:pPr>
        <w:tabs>
          <w:tab w:val="left" w:leader="none" w:pos="2160"/>
        </w:tabs>
        <w:spacing w:before="39" w:after="0" w:line="258" w:lineRule="exact"/>
        <w:ind w:right="0" w:left="72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Kontaktní osoba:	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viz Příloha A 1 – Specifikace Odběrných míst Zákazníka</w:t>
      </w:r>
    </w:p>
    <w:p>
      <w:pPr>
        <w:spacing w:before="35" w:after="0" w:line="258" w:lineRule="exact"/>
        <w:ind w:right="0" w:left="72" w:firstLine="0"/>
        <w:jc w:val="center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Mobil, telefon: viz Příloha A 1 – Specifikace Odběrných míst Zákazníka</w:t>
      </w:r>
    </w:p>
    <w:p>
      <w:pPr>
        <w:spacing w:before="35" w:after="0" w:line="258" w:lineRule="exact"/>
        <w:ind w:right="0" w:left="2160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email: viz Příloha A 1 – Specifikace Odběrných míst Zákazníka</w:t>
      </w:r>
    </w:p>
    <w:p>
      <w:pPr>
        <w:spacing w:before="40" w:after="0" w:line="253" w:lineRule="exact"/>
        <w:ind w:right="0" w:left="72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(dále jen </w:t>
      </w:r>
      <w:r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  <w:t xml:space="preserve">„Zákazník“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)</w:t>
      </w:r>
    </w:p>
    <w:p>
      <w:pPr>
        <w:spacing w:before="332" w:after="0" w:line="253" w:lineRule="exact"/>
        <w:ind w:right="0" w:left="216" w:firstLine="0"/>
        <w:jc w:val="left"/>
        <w:textAlignment w:val="baseline"/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  <w:t xml:space="preserve">I. Předmět smlouvy</w:t>
      </w:r>
    </w:p>
    <w:p>
      <w:pPr>
        <w:numPr>
          <w:ilvl w:val="0"/>
          <w:numId w:val="1"/>
        </w:numPr>
        <w:tabs>
          <w:tab w:val="clear" w:pos="144"/>
          <w:tab w:val="left" w:pos="432"/>
        </w:tabs>
        <w:spacing w:before="76" w:after="0" w:line="293" w:lineRule="exact"/>
        <w:ind w:right="288" w:left="432" w:hanging="144"/>
        <w:jc w:val="both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Obchodník se Smlouvou zavazuje dodávat po dobu, na kterou je Smlouva uzavřena Zákazníkovi plyn, zajistit jeho přistavení k odběru v Odběrných místech Zákazníka a zajistit vlastním jménem a na vlastní účet distribuci plynu a Zákazník se zavazuje tento plyn ve sjednaném množství, včetně souvisejících služeb odebrat a zaplatit 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za to Obchodníkovi dohodnutou cenu.</w:t>
      </w:r>
    </w:p>
    <w:p>
      <w:pPr>
        <w:numPr>
          <w:ilvl w:val="0"/>
          <w:numId w:val="1"/>
        </w:numPr>
        <w:tabs>
          <w:tab w:val="clear" w:pos="144"/>
          <w:tab w:val="left" w:pos="432"/>
        </w:tabs>
        <w:spacing w:before="76" w:after="0" w:line="293" w:lineRule="exact"/>
        <w:ind w:right="288" w:left="432" w:hanging="144"/>
        <w:jc w:val="both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Práva a povinnosti Smluvních stran se řídí obecně závaznými právními předpisy, zejména ustanovením § 72 odstavce 2 energetického zákona a touto Smlouvou zahrnující její Formulářové znění a její nedílné přílohy – Příloha A, Příloha B, Příloha C a Příloha D. V případě rozporu Formulářové části smlouvy, její Přílohy A a Přílohy B na straně jedné a Přílohy C (Obchodní podmínky) a Přílohy D (Ceník nadstandardních služeb) na straně druhé, mají ustanovení obsažená ve Formulářové části smlouvy, Příloze A a Příloze B přednost před ustanoveními Přílohy C a Přílohy D.</w:t>
      </w:r>
    </w:p>
    <w:p>
      <w:pPr>
        <w:spacing w:before="568" w:after="0" w:line="253" w:lineRule="exact"/>
        <w:ind w:right="0" w:left="216" w:firstLine="0"/>
        <w:jc w:val="left"/>
        <w:textAlignment w:val="baseline"/>
        <w:rPr>
          <w:rFonts w:ascii="Gill Sans MT" w:hAnsi="Gill Sans MT" w:eastAsia="Gill Sans MT"/>
          <w:b w:val="true"/>
          <w:color w:val="000000"/>
          <w:spacing w:val="-2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b w:val="true"/>
          <w:color w:val="000000"/>
          <w:spacing w:val="-2"/>
          <w:w w:val="100"/>
          <w:sz w:val="22"/>
          <w:vertAlign w:val="baseline"/>
          <w:lang w:val="cs-CZ"/>
        </w:rPr>
        <w:t xml:space="preserve">II. Podmínky dodávky</w:t>
      </w:r>
    </w:p>
    <w:p>
      <w:pPr>
        <w:numPr>
          <w:ilvl w:val="0"/>
          <w:numId w:val="2"/>
        </w:numPr>
        <w:tabs>
          <w:tab w:val="clear" w:pos="72"/>
          <w:tab w:val="left" w:pos="504"/>
        </w:tabs>
        <w:spacing w:before="76" w:after="0" w:line="293" w:lineRule="exact"/>
        <w:ind w:right="288" w:left="504" w:hanging="72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Dodávka plynu do odběrného místa bude Obchodníkem zahájena po jeho připojení k distribuční soustavě, případně po dokončení procesu změny dodavatele plynu.</w:t>
      </w:r>
    </w:p>
    <w:p>
      <w:pPr>
        <w:numPr>
          <w:ilvl w:val="0"/>
          <w:numId w:val="2"/>
        </w:numPr>
        <w:tabs>
          <w:tab w:val="clear" w:pos="72"/>
          <w:tab w:val="left" w:pos="504"/>
        </w:tabs>
        <w:spacing w:before="112" w:after="0" w:line="258" w:lineRule="exact"/>
        <w:ind w:right="0" w:left="504" w:hanging="72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Ujednání o celkovém množství zemního plynu dodávaného dle této Smlouvy, včetně specifikace Odběrných</w:t>
      </w:r>
    </w:p>
    <w:p>
      <w:pPr>
        <w:sectPr>
          <w:type w:val="nextPage"/>
          <w:pgSz w:w="11904" w:h="16843" w:orient="portrait"/>
          <w:pgMar w:bottom="407" w:top="620" w:right="805" w:left="659" w:header="720" w:footer="720"/>
          <w:titlePg w:val="false"/>
          <w:textDirection w:val="lrTb"/>
        </w:sectPr>
      </w:pPr>
    </w:p>
    <w:p>
      <w:pPr>
        <w:spacing w:before="1" w:after="0" w:line="258" w:lineRule="exact"/>
        <w:ind w:right="0" w:left="576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míst Zákazníka je obsažena v Příloze A Smlouvy.</w:t>
      </w:r>
    </w:p>
    <w:p>
      <w:pPr>
        <w:spacing w:before="117" w:after="0" w:line="253" w:lineRule="exact"/>
        <w:ind w:right="0" w:left="216" w:firstLine="0"/>
        <w:jc w:val="left"/>
        <w:textAlignment w:val="baseline"/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  <w:t xml:space="preserve">III. Cena a platební podmínky</w:t>
      </w:r>
    </w:p>
    <w:p>
      <w:pPr>
        <w:numPr>
          <w:ilvl w:val="0"/>
          <w:numId w:val="3"/>
        </w:numPr>
        <w:tabs>
          <w:tab w:val="clear" w:pos="144"/>
          <w:tab w:val="left" w:pos="576"/>
        </w:tabs>
        <w:spacing w:before="107" w:after="0" w:line="258" w:lineRule="exact"/>
        <w:ind w:right="0" w:left="576" w:hanging="144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Cena za dodávku plynu dle této Smlouvy je obsažena v Příloze B této Smlouvy.</w:t>
      </w:r>
    </w:p>
    <w:p>
      <w:pPr>
        <w:numPr>
          <w:ilvl w:val="0"/>
          <w:numId w:val="3"/>
        </w:numPr>
        <w:tabs>
          <w:tab w:val="clear" w:pos="144"/>
          <w:tab w:val="left" w:pos="576"/>
        </w:tabs>
        <w:spacing w:before="76" w:after="0" w:line="293" w:lineRule="exact"/>
        <w:ind w:right="216" w:left="576" w:hanging="144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Smluvní strany sjednávají splatnost faktur, přeplatků a nedoplatků ve lhůtě viz Příloha A 1 – Specifikace Odběrných míst Zákazníka</w:t>
      </w:r>
    </w:p>
    <w:p>
      <w:pPr>
        <w:numPr>
          <w:ilvl w:val="0"/>
          <w:numId w:val="3"/>
        </w:numPr>
        <w:tabs>
          <w:tab w:val="clear" w:pos="144"/>
          <w:tab w:val="left" w:pos="576"/>
        </w:tabs>
        <w:spacing w:before="77" w:after="0" w:line="293" w:lineRule="exact"/>
        <w:ind w:right="216" w:left="576" w:hanging="144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Smluvní strany sjednávají, že veškeré úhrady peněžitých částek Zákazníkem Obchodníkovi budou prováděny bezhotovostní formou: viz Příloha A 1 – Specifikace Odběrných míst Zákazníka</w:t>
      </w:r>
    </w:p>
    <w:p>
      <w:pPr>
        <w:spacing w:before="404" w:after="0" w:line="253" w:lineRule="exact"/>
        <w:ind w:right="0" w:left="216" w:firstLine="0"/>
        <w:jc w:val="left"/>
        <w:textAlignment w:val="baseline"/>
        <w:rPr>
          <w:rFonts w:ascii="Gill Sans MT" w:hAnsi="Gill Sans MT" w:eastAsia="Gill Sans MT"/>
          <w:b w:val="true"/>
          <w:color w:val="000000"/>
          <w:spacing w:val="-4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b w:val="true"/>
          <w:color w:val="000000"/>
          <w:spacing w:val="-4"/>
          <w:w w:val="100"/>
          <w:sz w:val="22"/>
          <w:vertAlign w:val="baseline"/>
          <w:lang w:val="cs-CZ"/>
        </w:rPr>
        <w:t xml:space="preserve">IV. Zálohy</w:t>
      </w:r>
    </w:p>
    <w:p>
      <w:pPr>
        <w:numPr>
          <w:ilvl w:val="0"/>
          <w:numId w:val="4"/>
        </w:numPr>
        <w:tabs>
          <w:tab w:val="clear" w:pos="144"/>
          <w:tab w:val="left" w:pos="576"/>
        </w:tabs>
        <w:spacing w:before="77" w:after="0" w:line="293" w:lineRule="exact"/>
        <w:ind w:right="216" w:left="576" w:hanging="144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Smluvní strany sjednávají, že Zákazník je povinen hradit zálohy na cenu dodávky ve výši viz Příloha A 1 – Specifikace Odběrných míst Zákazníka.</w:t>
      </w:r>
    </w:p>
    <w:p>
      <w:pPr>
        <w:numPr>
          <w:ilvl w:val="0"/>
          <w:numId w:val="4"/>
        </w:numPr>
        <w:tabs>
          <w:tab w:val="clear" w:pos="144"/>
          <w:tab w:val="left" w:pos="576"/>
        </w:tabs>
        <w:spacing w:before="76" w:after="0" w:line="293" w:lineRule="exact"/>
        <w:ind w:right="216" w:left="576" w:hanging="144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Splatnost záloh na cenu sdružené služby dodávky plynu se sjednává jako viz Příloha A 1 – Specifikace Odběrných míst Zákazníka.</w:t>
      </w:r>
    </w:p>
    <w:p>
      <w:pPr>
        <w:spacing w:before="405" w:after="0" w:line="253" w:lineRule="exact"/>
        <w:ind w:right="0" w:left="216" w:firstLine="0"/>
        <w:jc w:val="left"/>
        <w:textAlignment w:val="baseline"/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  <w:t xml:space="preserve">V. Délka trvání závazku</w:t>
      </w:r>
    </w:p>
    <w:p>
      <w:pPr>
        <w:spacing w:before="76" w:after="0" w:line="293" w:lineRule="exact"/>
        <w:ind w:right="216" w:left="576" w:hanging="216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1. 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Nestanoví-li dohoda Smluvních stran jinak, Smlouva se uzavírá na dobu určitou od 01.01.2025 do 31.12.2027 bez možnosti automatické prolongace, s předpokládaným termínem dodávek zahájených</w:t>
      </w:r>
    </w:p>
    <w:p>
      <w:pPr>
        <w:spacing w:before="78" w:after="0" w:line="292" w:lineRule="exact"/>
        <w:ind w:right="216" w:left="576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od 01.01.2025. Nestanoví-li dohoda Smluvních stran jinak, Obchodník není povinen zahájit dodávku do 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Odběrného místa Zákazníka dle této Smlouvy v termínu dle předchozí věty, nebude-li:</w:t>
      </w:r>
    </w:p>
    <w:p>
      <w:pPr>
        <w:tabs>
          <w:tab w:val="left" w:leader="none" w:pos="936"/>
        </w:tabs>
        <w:spacing w:before="107" w:after="0" w:line="258" w:lineRule="exact"/>
        <w:ind w:right="0" w:left="576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-	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Odběrné místo Zákazníka připojeno k distribuční soustavě,</w:t>
      </w:r>
    </w:p>
    <w:p>
      <w:pPr>
        <w:tabs>
          <w:tab w:val="left" w:leader="none" w:pos="936"/>
        </w:tabs>
        <w:spacing w:before="112" w:after="0" w:line="258" w:lineRule="exact"/>
        <w:ind w:right="0" w:left="576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-	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účinná smlouva o připojení Odběrného místa Zákazníka k distribuční soustavě s jejím provozovatelem,</w:t>
      </w:r>
    </w:p>
    <w:p>
      <w:pPr>
        <w:tabs>
          <w:tab w:val="left" w:leader="none" w:pos="936"/>
        </w:tabs>
        <w:spacing w:before="73" w:after="0" w:line="292" w:lineRule="exact"/>
        <w:ind w:right="216" w:left="936" w:hanging="36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-	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řádně ukončen smluvní vztah o dodávkách plynu do Odběrného místa Zákazníka s Obchodníkovi předcházejícím dodavatelem (v případě změny dodavatele plynu) nebo</w:t>
      </w:r>
    </w:p>
    <w:p>
      <w:pPr>
        <w:tabs>
          <w:tab w:val="left" w:leader="none" w:pos="936"/>
        </w:tabs>
        <w:spacing w:before="76" w:after="0" w:line="293" w:lineRule="exact"/>
        <w:ind w:right="216" w:left="936" w:hanging="360"/>
        <w:jc w:val="both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-	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řádně ukončen proces změny dodavatele plynu do Odběrného místa Zákazníka ve smyslu obecně závazného právního předpisu, tj. v systému OTE, a.s. nebude coby dodavatel do Odběrného místa 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Zákazníka uveden Obchodník.</w:t>
      </w:r>
    </w:p>
    <w:p>
      <w:pPr>
        <w:spacing w:before="410" w:after="0" w:line="253" w:lineRule="exact"/>
        <w:ind w:right="0" w:left="216" w:firstLine="0"/>
        <w:jc w:val="left"/>
        <w:textAlignment w:val="baseline"/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  <w:t xml:space="preserve">VI. Sankční ujednání</w:t>
      </w:r>
    </w:p>
    <w:p>
      <w:pPr>
        <w:spacing w:before="72" w:after="0" w:line="294" w:lineRule="exact"/>
        <w:ind w:right="216" w:left="504" w:hanging="288"/>
        <w:jc w:val="both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1. V případě nedodržení platebních povinností Zákazníka vyplývajících ze Smlouvy, které vyústí v prodlení s úhradou jakékoli jednotlivé platby delší než 10 kalendářních dní, je Zákazník povinen zaplatit Obchodníkovi smluvní pokutu v souladu s CNS ve výši 250,- Kč. Pokud prodlení s úhradou přesáhne 30 kalendářních dnů, je Zákazník povinen uhradit dodatečnou smluvní pokutu ve výši 250,- Kč za každé jednotlivé prodlení.</w:t>
      </w:r>
    </w:p>
    <w:p>
      <w:pPr>
        <w:spacing w:before="72" w:after="0" w:line="293" w:lineRule="exact"/>
        <w:ind w:right="216" w:left="504" w:hanging="288"/>
        <w:jc w:val="both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2. Zákazník je povinen Obchodníkovi zaplatit smluvní pokutu za každé jednotlivé odběrné místo ve výši 5.000,-Kč (v případě kategorie Domácnost) a ve výši 10.000,- Kč (v případě kategorie Maloodběr) pokud:</w:t>
      </w:r>
    </w:p>
    <w:p>
      <w:pPr>
        <w:numPr>
          <w:ilvl w:val="0"/>
          <w:numId w:val="5"/>
        </w:numPr>
        <w:tabs>
          <w:tab w:val="clear" w:pos="360"/>
          <w:tab w:val="left" w:pos="576"/>
        </w:tabs>
        <w:spacing w:before="111" w:after="0" w:line="258" w:lineRule="exact"/>
        <w:ind w:right="0" w:left="216" w:firstLine="0"/>
        <w:jc w:val="left"/>
        <w:textAlignment w:val="baseline"/>
        <w:rPr>
          <w:rFonts w:ascii="Gill Sans MT" w:hAnsi="Gill Sans MT" w:eastAsia="Gill Sans MT"/>
          <w:color w:val="000000"/>
          <w:spacing w:val="-2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-2"/>
          <w:w w:val="100"/>
          <w:sz w:val="22"/>
          <w:vertAlign w:val="baseline"/>
          <w:lang w:val="cs-CZ"/>
        </w:rPr>
        <w:t xml:space="preserve">ukončí neoprávněně či předčasně Smlouvu či odběr plynu,</w:t>
      </w:r>
    </w:p>
    <w:p>
      <w:pPr>
        <w:numPr>
          <w:ilvl w:val="0"/>
          <w:numId w:val="5"/>
        </w:numPr>
        <w:tabs>
          <w:tab w:val="clear" w:pos="360"/>
          <w:tab w:val="left" w:pos="576"/>
        </w:tabs>
        <w:spacing w:before="112" w:after="0" w:line="258" w:lineRule="exact"/>
        <w:ind w:right="0" w:left="216" w:firstLine="0"/>
        <w:jc w:val="left"/>
        <w:textAlignment w:val="baseline"/>
        <w:rPr>
          <w:rFonts w:ascii="Gill Sans MT" w:hAnsi="Gill Sans MT" w:eastAsia="Gill Sans MT"/>
          <w:color w:val="000000"/>
          <w:spacing w:val="-1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-1"/>
          <w:w w:val="100"/>
          <w:sz w:val="22"/>
          <w:vertAlign w:val="baseline"/>
          <w:lang w:val="cs-CZ"/>
        </w:rPr>
        <w:t xml:space="preserve">neumožní Obchodníkovi provedení procesu změny dodavatele plynu do odběrného místa.</w:t>
      </w:r>
    </w:p>
    <w:p>
      <w:pPr>
        <w:spacing w:before="102" w:after="0" w:line="262" w:lineRule="exact"/>
        <w:ind w:right="0" w:left="216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3. Úhrada smluvní pokuty nemá vliv na nárok na náhradu 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š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kody v plném rozsahu.</w:t>
      </w:r>
    </w:p>
    <w:p>
      <w:pPr>
        <w:spacing w:before="76" w:after="0" w:line="293" w:lineRule="exact"/>
        <w:ind w:right="216" w:left="504" w:hanging="288"/>
        <w:jc w:val="both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4. Zákazník je povinen nahradit Obchodníkovi náklady, které Obchodník vynalo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ž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í ve vztahu k provozovateli 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distribuční soustavy v souvislosti s poskytováním služeb požadovaným v souladu se Smlouvou Zákazníkem, zejm. pak náklady na mimořádný odečet či samoodečet či náklady na odpojení či opětovné připojení odběrného 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místa.</w:t>
      </w:r>
    </w:p>
    <w:p>
      <w:pPr>
        <w:spacing w:before="410" w:after="0" w:line="253" w:lineRule="exact"/>
        <w:ind w:right="0" w:left="216" w:firstLine="0"/>
        <w:jc w:val="left"/>
        <w:textAlignment w:val="baseline"/>
        <w:rPr>
          <w:rFonts w:ascii="Gill Sans MT" w:hAnsi="Gill Sans MT" w:eastAsia="Gill Sans MT"/>
          <w:b w:val="true"/>
          <w:color w:val="000000"/>
          <w:spacing w:val="5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b w:val="true"/>
          <w:color w:val="000000"/>
          <w:spacing w:val="5"/>
          <w:w w:val="100"/>
          <w:sz w:val="22"/>
          <w:vertAlign w:val="baseline"/>
          <w:lang w:val="cs-CZ"/>
        </w:rPr>
        <w:t xml:space="preserve">VII. Závěrečná ustanovení</w:t>
      </w:r>
    </w:p>
    <w:p>
      <w:pPr>
        <w:numPr>
          <w:ilvl w:val="0"/>
          <w:numId w:val="6"/>
        </w:numPr>
        <w:tabs>
          <w:tab w:val="clear" w:pos="288"/>
          <w:tab w:val="left" w:pos="504"/>
        </w:tabs>
        <w:spacing w:before="107" w:after="0" w:line="258" w:lineRule="exact"/>
        <w:ind w:right="0" w:left="504" w:hanging="288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Smlouva nabývá platnosti dnem podpisu oběma smluvními stranami a účinnosti dnem zahájení dodávky plynu.</w:t>
      </w:r>
    </w:p>
    <w:p>
      <w:pPr>
        <w:numPr>
          <w:ilvl w:val="0"/>
          <w:numId w:val="6"/>
        </w:numPr>
        <w:tabs>
          <w:tab w:val="clear" w:pos="288"/>
          <w:tab w:val="left" w:pos="504"/>
        </w:tabs>
        <w:spacing w:before="76" w:after="0" w:line="293" w:lineRule="exact"/>
        <w:ind w:right="216" w:left="504" w:hanging="288"/>
        <w:jc w:val="left"/>
        <w:textAlignment w:val="baseline"/>
        <w:rPr>
          <w:rFonts w:ascii="Gill Sans MT" w:hAnsi="Gill Sans MT" w:eastAsia="Gill Sans MT"/>
          <w:color w:val="000000"/>
          <w:spacing w:val="-1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-1"/>
          <w:w w:val="100"/>
          <w:sz w:val="22"/>
          <w:vertAlign w:val="baseline"/>
          <w:lang w:val="cs-CZ"/>
        </w:rPr>
        <w:t xml:space="preserve">Zákazník bere na vědomí, že Obchodník zpracovává osobní údaje Zákazníka v souladu s příslušnými právními předpisy, zejména v souladu s obecným nařízením o ochraně osobních údajů, a že poskytnutí jeho osobních</w:t>
      </w:r>
    </w:p>
    <w:p>
      <w:pPr>
        <w:sectPr>
          <w:type w:val="nextPage"/>
          <w:pgSz w:w="11904" w:h="16843" w:orient="portrait"/>
          <w:pgMar w:bottom="467" w:top="720" w:right="849" w:left="615" w:header="720" w:footer="720"/>
          <w:titlePg w:val="false"/>
          <w:textDirection w:val="lrTb"/>
        </w:sectPr>
      </w:pPr>
    </w:p>
    <w:p>
      <w:pPr>
        <w:spacing w:before="0" w:after="0" w:line="281" w:lineRule="exact"/>
        <w:ind w:right="288" w:left="288" w:firstLine="0"/>
        <w:jc w:val="both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údajů je smluvním a z části i zákonným požadavkem, a má proto povinnost své osobní údaje poskytnout. Veškeré informace o zpracování osobních údajů jsou uvedeny v dokumentu Informace o zpracování osobních údajů dostupném na </w:t>
      </w:r>
      <w:hyperlink r:id="dhId1">
        <w:r>
          <w:rPr>
            <w:rFonts w:ascii="Gill Sans MT" w:hAnsi="Gill Sans MT" w:eastAsia="Gill Sans MT"/>
            <w:color w:val="0000FF"/>
            <w:spacing w:val="0"/>
            <w:w w:val="100"/>
            <w:sz w:val="22"/>
            <w:u w:val="single"/>
            <w:vertAlign w:val="baseline"/>
            <w:lang w:val="cs-CZ"/>
          </w:rPr>
          <w:t xml:space="preserve">www.ppas.cz/info</w:t>
        </w:r>
      </w:hyperlink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 a dále na vyžádání v obchodních kancelářích Obchodníka.</w:t>
      </w:r>
    </w:p>
    <w:p>
      <w:pPr>
        <w:numPr>
          <w:ilvl w:val="0"/>
          <w:numId w:val="4"/>
        </w:numPr>
        <w:tabs>
          <w:tab w:val="clear" w:pos="144"/>
          <w:tab w:val="left" w:pos="432"/>
        </w:tabs>
        <w:spacing w:before="80" w:after="0" w:line="292" w:lineRule="exact"/>
        <w:ind w:right="288" w:left="432" w:hanging="144"/>
        <w:jc w:val="both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Ukončení sdružené služby dodávky plynu je vždy spojeno s ukončením smluvního vztahu mezi Zákazníkem a Obchodníkem založeného Smlouvou. Pro vyloučení pochybností smluvní strany činí nesporným, že zánik Smlouvy nastane také dnem provedení odpojení plynoměru od distribuční sítě (demontáž) z důvodů uvedených 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v OP.</w:t>
      </w:r>
    </w:p>
    <w:p>
      <w:pPr>
        <w:numPr>
          <w:ilvl w:val="0"/>
          <w:numId w:val="4"/>
        </w:numPr>
        <w:tabs>
          <w:tab w:val="clear" w:pos="144"/>
          <w:tab w:val="left" w:pos="432"/>
        </w:tabs>
        <w:spacing w:before="77" w:after="0" w:line="292" w:lineRule="exact"/>
        <w:ind w:right="288" w:left="432" w:hanging="144"/>
        <w:jc w:val="both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Smluvní strany si sjednávají splatnost ceny odchylně od občanského zákoníku, která se počítá ode dne vystavení daňového dokladu ve lhůtě určené níže.</w:t>
      </w:r>
    </w:p>
    <w:p>
      <w:pPr>
        <w:numPr>
          <w:ilvl w:val="0"/>
          <w:numId w:val="4"/>
        </w:numPr>
        <w:tabs>
          <w:tab w:val="clear" w:pos="144"/>
          <w:tab w:val="left" w:pos="432"/>
        </w:tabs>
        <w:spacing w:before="77" w:after="0" w:line="293" w:lineRule="exact"/>
        <w:ind w:right="288" w:left="432" w:hanging="144"/>
        <w:jc w:val="both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Zákazník prohlašuje, že byl Obchodníkem v dostatečné míře srozuměn a vysvětlena mu všechna ustanovení Smlouvy a jejích nedílných příloh, především pak způsob stanovení celkové ceny za plyn a související služby jím hrazené na základě této Smlouvy.</w:t>
      </w:r>
    </w:p>
    <w:p>
      <w:pPr>
        <w:numPr>
          <w:ilvl w:val="0"/>
          <w:numId w:val="4"/>
        </w:numPr>
        <w:tabs>
          <w:tab w:val="clear" w:pos="144"/>
          <w:tab w:val="left" w:pos="432"/>
        </w:tabs>
        <w:spacing w:before="71" w:after="0" w:line="295" w:lineRule="exact"/>
        <w:ind w:right="288" w:left="432" w:hanging="144"/>
        <w:jc w:val="both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Zákazník souhlasí se zasíláním a doručováním faktur, předpisů záloh, oznámení změn Obchodních podmínek, Ceníku nadstandardních služeb nebo Ceny plynu v elektronické podobě na email své kontaktní osoby uvedený v záhlaví Formulářové části smlouvy.</w:t>
      </w:r>
    </w:p>
    <w:p>
      <w:pPr>
        <w:numPr>
          <w:ilvl w:val="0"/>
          <w:numId w:val="4"/>
        </w:numPr>
        <w:tabs>
          <w:tab w:val="clear" w:pos="144"/>
          <w:tab w:val="left" w:pos="432"/>
        </w:tabs>
        <w:spacing w:before="75" w:after="0" w:line="293" w:lineRule="exact"/>
        <w:ind w:right="288" w:left="432" w:hanging="144"/>
        <w:jc w:val="both"/>
        <w:textAlignment w:val="baseline"/>
        <w:rPr>
          <w:rFonts w:ascii="Gill Sans MT" w:hAnsi="Gill Sans MT" w:eastAsia="Gill Sans MT"/>
          <w:color w:val="000000"/>
          <w:spacing w:val="-1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-1"/>
          <w:w w:val="100"/>
          <w:sz w:val="22"/>
          <w:vertAlign w:val="baseline"/>
          <w:lang w:val="cs-CZ"/>
        </w:rPr>
        <w:t xml:space="preserve">Pokud se Obchodník se Zákazníkem dohodne na (mimořádné) fakturaci sdružené služby dodávky za jiné období, než je proveden řádný odečet provozovatelem distribuční soustavy a umožňuje-li tuto službu příslušný provozovatel, bude Zákazník zasílat samoodečty ve formátu stanoveném provozovatelem na emailovou adresu </w:t>
      </w:r>
      <w:hyperlink r:id="dhId2">
        <w:r>
          <w:rPr>
            <w:rFonts w:ascii="Gill Sans MT" w:hAnsi="Gill Sans MT" w:eastAsia="Gill Sans MT"/>
            <w:color w:val="0000FF"/>
            <w:spacing w:val="-1"/>
            <w:w w:val="100"/>
            <w:sz w:val="22"/>
            <w:u w:val="single"/>
            <w:vertAlign w:val="baseline"/>
            <w:lang w:val="cs-CZ"/>
          </w:rPr>
          <w:t xml:space="preserve">samoodecet@ppas.cz</w:t>
        </w:r>
      </w:hyperlink>
      <w:hyperlink r:id="dhId2">
        <w:r>
          <w:rPr>
            <w:rFonts w:ascii="Gill Sans MT" w:hAnsi="Gill Sans MT" w:eastAsia="Gill Sans MT"/>
            <w:color w:val="0000FF"/>
            <w:spacing w:val="-1"/>
            <w:w w:val="100"/>
            <w:sz w:val="22"/>
            <w:u w:val="single"/>
            <w:vertAlign w:val="baseline"/>
            <w:lang w:val="cs-CZ"/>
          </w:rPr>
          <w:t xml:space="preserve"> </w:t>
        </w:r>
      </w:hyperlink>
      <w:r>
        <w:rPr>
          <w:rFonts w:ascii="Gill Sans MT" w:hAnsi="Gill Sans MT" w:eastAsia="Gill Sans MT"/>
          <w:color w:val="000000"/>
          <w:spacing w:val="-1"/>
          <w:w w:val="100"/>
          <w:sz w:val="22"/>
          <w:vertAlign w:val="baseline"/>
          <w:lang w:val="cs-CZ"/>
        </w:rPr>
        <w:t xml:space="preserve">a do předmětu e-mailové zprávy uvede „Samoodečet FLEXI“. Pokud Zákazník nedodá samoodečet ve formátu požadovaném provozovatelem distribuční soustavy nejpozději 1. pracovní den po skončení posledního kalendářního měsíce v období, pro které bude (mimořádná) fakturace dohodnuta, nebo budou údaje požadované provozovatelem uvedeny chybně či neúplně, není Obchodník povinen (mimořádnou) </w:t>
      </w:r>
      <w:r>
        <w:rPr>
          <w:rFonts w:ascii="Gill Sans MT" w:hAnsi="Gill Sans MT" w:eastAsia="Gill Sans MT"/>
          <w:color w:val="000000"/>
          <w:spacing w:val="-1"/>
          <w:w w:val="100"/>
          <w:sz w:val="22"/>
          <w:vertAlign w:val="baseline"/>
          <w:lang w:val="cs-CZ"/>
        </w:rPr>
        <w:t xml:space="preserve">fakturu vystavit.</w:t>
      </w:r>
    </w:p>
    <w:p>
      <w:pPr>
        <w:spacing w:before="471" w:after="0" w:line="261" w:lineRule="exact"/>
        <w:ind w:right="0" w:left="72" w:firstLine="0"/>
        <w:jc w:val="left"/>
        <w:textAlignment w:val="baseline"/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  <w:t xml:space="preserve">VIII. Zvlá</w:t>
      </w:r>
      <w:r>
        <w:rPr>
          <w:rFonts w:ascii="Gill Sans MT" w:hAnsi="Gill Sans MT" w:eastAsia="Gill Sans MT"/>
          <w:b w:val="true"/>
          <w:color w:val="000000"/>
          <w:spacing w:val="0"/>
          <w:w w:val="100"/>
          <w:sz w:val="21"/>
          <w:vertAlign w:val="baseline"/>
          <w:lang w:val="cs-CZ"/>
        </w:rPr>
        <w:t xml:space="preserve">š</w:t>
      </w:r>
      <w:r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  <w:t xml:space="preserve">tní ustanovení ze ZD</w:t>
      </w:r>
    </w:p>
    <w:p>
      <w:pPr>
        <w:numPr>
          <w:ilvl w:val="0"/>
          <w:numId w:val="7"/>
        </w:numPr>
        <w:tabs>
          <w:tab w:val="clear" w:pos="216"/>
          <w:tab w:val="left" w:pos="288"/>
        </w:tabs>
        <w:spacing w:before="311" w:after="0" w:line="258" w:lineRule="exact"/>
        <w:ind w:right="0" w:left="72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Smlouva je uzavřena na dobu určitou bez možnosti automatické prolongace.</w:t>
      </w:r>
    </w:p>
    <w:p>
      <w:pPr>
        <w:numPr>
          <w:ilvl w:val="0"/>
          <w:numId w:val="7"/>
        </w:numPr>
        <w:tabs>
          <w:tab w:val="clear" w:pos="216"/>
          <w:tab w:val="left" w:pos="288"/>
        </w:tabs>
        <w:spacing w:before="275" w:after="0" w:line="257" w:lineRule="exact"/>
        <w:ind w:right="0" w:left="72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Na zákazníka se nevztahují sankce za nedodržení množství odběru zemního plynu.</w:t>
      </w:r>
    </w:p>
    <w:p>
      <w:pPr>
        <w:numPr>
          <w:ilvl w:val="0"/>
          <w:numId w:val="7"/>
        </w:numPr>
        <w:tabs>
          <w:tab w:val="clear" w:pos="216"/>
          <w:tab w:val="left" w:pos="288"/>
        </w:tabs>
        <w:spacing w:before="282" w:after="0" w:line="255" w:lineRule="exact"/>
        <w:ind w:right="288" w:left="72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Obchodník přebírá úplnou zodpovědnost za odchylku. Nebude se vyhodnocovat skutečně odebrané množství zemního plynu ve smyslu jakýchkoliv dalších poplatků nebo sankcí.</w:t>
      </w:r>
    </w:p>
    <w:p>
      <w:pPr>
        <w:numPr>
          <w:ilvl w:val="0"/>
          <w:numId w:val="7"/>
        </w:numPr>
        <w:tabs>
          <w:tab w:val="clear" w:pos="216"/>
          <w:tab w:val="left" w:pos="288"/>
        </w:tabs>
        <w:spacing w:before="277" w:after="0" w:line="256" w:lineRule="exact"/>
        <w:ind w:right="72" w:left="72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V případech zrušení odběrného místa u zákazníka, zejména z důvodu převodu vlastnických práv k odběrnému místu, odstranění odběrného místa, demolice, zničení živelnou pohromou, je zákazník oprávněn ukončit smluvní vztah s vybraným obchodníkem k danému odběrnému místu nejpozději do 30 dnů ode dne oznámení obchodníkovi o zrušení odběrného místa, a to bez nároku na finanční kompenzaci.</w:t>
      </w:r>
    </w:p>
    <w:p>
      <w:pPr>
        <w:numPr>
          <w:ilvl w:val="0"/>
          <w:numId w:val="7"/>
        </w:numPr>
        <w:tabs>
          <w:tab w:val="clear" w:pos="216"/>
          <w:tab w:val="left" w:pos="288"/>
        </w:tabs>
        <w:spacing w:before="285" w:after="0" w:line="254" w:lineRule="exact"/>
        <w:ind w:right="144" w:left="72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Nedílnou součástí smlouvy je Příloha č. 2B, jež specifikuje způsob realizace postupného nákupu. (Tento bod účastník neuvádí v případě, kdy dá celý způsob realizace postupného nákupu – Přílohu č. 2 (B) této ZD – přímo do těla smlouvy).</w:t>
      </w:r>
    </w:p>
    <w:p>
      <w:pPr>
        <w:numPr>
          <w:ilvl w:val="0"/>
          <w:numId w:val="7"/>
        </w:numPr>
        <w:tabs>
          <w:tab w:val="clear" w:pos="216"/>
          <w:tab w:val="left" w:pos="288"/>
        </w:tabs>
        <w:spacing w:before="283" w:after="0" w:line="255" w:lineRule="exact"/>
        <w:ind w:right="0" w:left="72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Z důvodu provozních potřeb může zákazník v průběhu smluvního období počet měřících nebo odběrných míst změnit, a to jak zrušením stávajících, tak zřízením nových odběrných míst (případně i přepisem odběrných míst z jiného subjektu). Zákazník je oprávněn kdykoli v průběhu smluvního období požádat obchodníka o zahájení dodávek zemního plynu do odběrných míst zadavatele, které nebyly součástí veřejné zakázky. Obchodník v takovém případě navrhne zákazníkovi podmínky, za jakých je ochoten do těchto odběrných míst zahájit dodávku. V případě potvrzení podmínek zákazníkem a podepsaní dodatku, obchodník bez zbytečného odkladu zahájí dodávky zemního plynu do předmětných odběrných míst za podmínek popsaných v dodatku.</w:t>
      </w:r>
    </w:p>
    <w:p>
      <w:pPr>
        <w:numPr>
          <w:ilvl w:val="0"/>
          <w:numId w:val="7"/>
        </w:numPr>
        <w:tabs>
          <w:tab w:val="clear" w:pos="216"/>
          <w:tab w:val="left" w:pos="288"/>
        </w:tabs>
        <w:spacing w:before="278" w:after="0" w:line="255" w:lineRule="exact"/>
        <w:ind w:right="288" w:left="72" w:firstLine="0"/>
        <w:jc w:val="left"/>
        <w:textAlignment w:val="baseline"/>
        <w:rPr>
          <w:rFonts w:ascii="Gill Sans MT" w:hAnsi="Gill Sans MT" w:eastAsia="Gill Sans MT"/>
          <w:color w:val="000000"/>
          <w:spacing w:val="-2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-2"/>
          <w:w w:val="100"/>
          <w:sz w:val="22"/>
          <w:vertAlign w:val="baseline"/>
          <w:lang w:val="cs-CZ"/>
        </w:rPr>
        <w:t xml:space="preserve">Obchodník se zavazuje zajistit dodržování pracovněprávních předpisů, zejména zákona č. 262/2006 Sb., zákoník práce, ve znění pozdějších předpisů, zákona č. 435/2004 Sb., o zaměstnanosti, ve znění pozdějších předpisů, a to</w:t>
      </w:r>
    </w:p>
    <w:p>
      <w:pPr>
        <w:sectPr>
          <w:type w:val="nextPage"/>
          <w:pgSz w:w="11904" w:h="16843" w:orient="portrait"/>
          <w:pgMar w:bottom="807" w:top="720" w:right="789" w:left="675" w:header="720" w:footer="720"/>
          <w:titlePg w:val="false"/>
          <w:textDirection w:val="lrTb"/>
        </w:sectPr>
      </w:pPr>
    </w:p>
    <w:p>
      <w:pPr>
        <w:spacing w:before="4" w:after="0" w:line="255" w:lineRule="exact"/>
        <w:ind w:right="0" w:left="0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vůči všem osobám, které se na plnění zakázky podílejí a bez ohledu na to, zda jsou práce na předmětu plnění prováděny obchodníkem či jeho poddodavateli.</w:t>
      </w:r>
    </w:p>
    <w:p>
      <w:pPr>
        <w:spacing w:before="258" w:after="0" w:line="255" w:lineRule="exact"/>
        <w:ind w:right="216" w:left="0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h) Dodavatel se zavazuje poskytovat odběrateli přehled fakturačních dat ve formátu xls, a to v pravidelném 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intervalu dle realizované fakturace po dobu trvání této smlouvy.</w:t>
      </w:r>
    </w:p>
    <w:p>
      <w:pPr>
        <w:spacing w:before="289" w:after="0" w:line="258" w:lineRule="exact"/>
        <w:ind w:right="0" w:left="144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Příloha č. 2 B Způsob realizace PN detailní princip nákupu je uveden v Příloze B – Cena za dodávku plynu</w:t>
      </w:r>
    </w:p>
    <w:p>
      <w:pPr>
        <w:tabs>
          <w:tab w:val="left" w:leader="none" w:pos="720"/>
        </w:tabs>
        <w:spacing w:before="1067" w:after="0" w:line="253" w:lineRule="exact"/>
        <w:ind w:right="0" w:left="144" w:firstLine="0"/>
        <w:jc w:val="left"/>
        <w:textAlignment w:val="baseline"/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  <w:t xml:space="preserve">IX.	</w:t>
      </w:r>
      <w:r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  <w:t xml:space="preserve">Přílohy smlouvy</w:t>
      </w:r>
    </w:p>
    <w:p>
      <w:pPr>
        <w:spacing w:before="40" w:after="0" w:line="257" w:lineRule="exact"/>
        <w:ind w:right="0" w:left="144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Příloha A – Specifikace Odběrných míst Zákazníka</w:t>
      </w:r>
    </w:p>
    <w:p>
      <w:pPr>
        <w:spacing w:before="35" w:after="0" w:line="258" w:lineRule="exact"/>
        <w:ind w:right="0" w:left="144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Příloha A 1 – Specifikace Odběrných míst Zákazníka</w:t>
      </w:r>
    </w:p>
    <w:p>
      <w:pPr>
        <w:spacing w:before="35" w:after="0" w:line="258" w:lineRule="exact"/>
        <w:ind w:right="0" w:left="144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Příloha B – Cena za dodávku plynu</w:t>
      </w:r>
    </w:p>
    <w:p>
      <w:pPr>
        <w:spacing w:before="35" w:after="0" w:line="258" w:lineRule="exact"/>
        <w:ind w:right="0" w:left="144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Příloha C – Obchodní podmínky</w:t>
      </w:r>
    </w:p>
    <w:p>
      <w:pPr>
        <w:spacing w:before="35" w:after="0" w:line="257" w:lineRule="exact"/>
        <w:ind w:right="0" w:left="144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Příloha D – Ceník nadstandardních služeb</w:t>
      </w:r>
    </w:p>
    <w:p>
      <w:pPr>
        <w:spacing w:before="36" w:after="0" w:line="257" w:lineRule="exact"/>
        <w:ind w:right="0" w:left="144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Příloha č. 2 B Způsob realizace PN</w:t>
      </w:r>
    </w:p>
    <w:p>
      <w:pPr>
        <w:tabs>
          <w:tab w:val="left" w:leader="none" w:pos="4968"/>
        </w:tabs>
        <w:spacing w:before="256" w:after="0" w:line="257" w:lineRule="exact"/>
        <w:ind w:right="0" w:left="0" w:firstLine="0"/>
        <w:jc w:val="left"/>
        <w:textAlignment w:val="baseline"/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V Praze dne	</w:t>
      </w:r>
      <w:r>
        <w:rPr>
          <w:rFonts w:ascii="Gill Sans MT" w:hAnsi="Gill Sans MT" w:eastAsia="Gill Sans MT"/>
          <w:color w:val="000000"/>
          <w:spacing w:val="0"/>
          <w:w w:val="100"/>
          <w:sz w:val="22"/>
          <w:vertAlign w:val="baseline"/>
          <w:lang w:val="cs-CZ"/>
        </w:rPr>
        <w:t xml:space="preserve">V Pelhřimově dne</w:t>
      </w:r>
    </w:p>
    <w:p>
      <w:pPr>
        <w:tabs>
          <w:tab w:val="left" w:leader="none" w:pos="4968"/>
        </w:tabs>
        <w:spacing w:before="775" w:after="1070" w:line="263" w:lineRule="exact"/>
        <w:ind w:right="0" w:left="0" w:firstLine="0"/>
        <w:jc w:val="left"/>
        <w:textAlignment w:val="baseline"/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</w:pPr>
      <w:r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  <w:t xml:space="preserve">Pra</w:t>
      </w:r>
      <w:r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  <w:t xml:space="preserve">ž</w:t>
      </w:r>
      <w:r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  <w:t xml:space="preserve">ská plynárenská, a. s.	</w:t>
      </w:r>
      <w:r>
        <w:rPr>
          <w:rFonts w:ascii="Gill Sans MT" w:hAnsi="Gill Sans MT" w:eastAsia="Gill Sans MT"/>
          <w:b w:val="true"/>
          <w:color w:val="000000"/>
          <w:spacing w:val="0"/>
          <w:w w:val="100"/>
          <w:sz w:val="22"/>
          <w:vertAlign w:val="baseline"/>
          <w:lang w:val="cs-CZ"/>
        </w:rPr>
        <w:t xml:space="preserve">Pelhřimovská vodárenská s.r.o.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4"/>
        <w:gridCol w:w="2807"/>
        <w:gridCol w:w="2147"/>
        <w:gridCol w:w="2654"/>
      </w:tblGrid>
      <w:tr>
        <w:trPr>
          <w:trHeight w:val="683" w:hRule="exact"/>
        </w:trPr>
        <w:tc>
          <w:tcPr>
            <w:tcW w:w="2831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spacing w:before="115" w:after="312" w:line="252" w:lineRule="exact"/>
              <w:ind w:right="1117" w:left="0" w:firstLine="0"/>
              <w:jc w:val="right"/>
              <w:textAlignment w:val="baseline"/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XXXXXXXXXXX</w:t>
            </w:r>
          </w:p>
        </w:tc>
        <w:tc>
          <w:tcPr>
            <w:tcW w:w="4801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spacing w:before="79" w:after="14" w:line="293" w:lineRule="exact"/>
              <w:ind w:right="0" w:left="2124" w:firstLine="0"/>
              <w:jc w:val="left"/>
              <w:textAlignment w:val="baseline"/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</w:pPr>
            <w:r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Ing. Vlastimil </w:t>
            </w:r>
            <w:r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Š</w:t>
            </w:r>
            <w:r>
              <w:rPr>
                <w:rFonts w:ascii="Gill Sans MT" w:hAnsi="Gill Sans MT" w:eastAsia="Gill Sans MT"/>
                <w:b w:val="true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ebesta </w:t>
            </w:r>
            <w:r>
              <w:rPr>
                <w:rFonts w:ascii="Gill Sans MT" w:hAnsi="Gill Sans MT" w:eastAsia="Gill Sans MT"/>
                <w:color w:val="000000"/>
                <w:spacing w:val="0"/>
                <w:w w:val="100"/>
                <w:sz w:val="22"/>
                <w:vertAlign w:val="baseline"/>
                <w:lang w:val="cs-CZ"/>
              </w:rPr>
              <w:t xml:space="preserve">jednatel</w:t>
            </w:r>
          </w:p>
        </w:tc>
      </w:tr>
    </w:tbl>
    <w:sectPr>
      <w:type w:val="nextPage"/>
      <w:pgSz w:w="11904" w:h="16843" w:orient="portrait"/>
      <w:pgMar w:bottom="7487" w:top="720" w:right="1464" w:left="72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Gill Sans MT">
    <w:charset w:val="00"/>
    <w:pitch w:val="variable"/>
    <w:family w:val="swiss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decimal"/>
      <w:lvlText w:val="%1."/>
      <w:pPr>
        <w:tabs>
          <w:tab w:val="left" w:pos="144"/>
        </w:tabs>
      </w:pPr>
      <w:rPr>
        <w:rFonts w:ascii="Gill Sans MT" w:hAnsi="Gill Sans MT" w:eastAsia="Gill Sans MT"/>
        <w:color w:val="000000"/>
        <w:spacing w:val="0"/>
        <w:w w:val="100"/>
        <w:sz w:val="22"/>
        <w:vertAlign w:val="baseline"/>
        <w:lang w:val="cs-CZ"/>
      </w:rPr>
    </w:lvl>
  </w:abstractNum>
  <w:abstractNum w:abstractNumId="2">
    <w:lvl w:ilvl="0">
      <w:start w:val="1"/>
      <w:numFmt w:val="decimal"/>
      <w:lvlText w:val="%1."/>
      <w:pPr>
        <w:tabs>
          <w:tab w:val="left" w:pos="72"/>
        </w:tabs>
      </w:pPr>
      <w:rPr>
        <w:rFonts w:ascii="Gill Sans MT" w:hAnsi="Gill Sans MT" w:eastAsia="Gill Sans MT"/>
        <w:color w:val="000000"/>
        <w:spacing w:val="0"/>
        <w:w w:val="100"/>
        <w:sz w:val="22"/>
        <w:vertAlign w:val="baseline"/>
        <w:lang w:val="cs-CZ"/>
      </w:rPr>
    </w:lvl>
  </w:abstractNum>
  <w:abstractNum w:abstractNumId="3">
    <w:lvl w:ilvl="0">
      <w:start w:val="1"/>
      <w:numFmt w:val="decimal"/>
      <w:lvlText w:val="%1."/>
      <w:pPr>
        <w:tabs>
          <w:tab w:val="left" w:pos="144"/>
        </w:tabs>
      </w:pPr>
      <w:rPr>
        <w:rFonts w:ascii="Gill Sans MT" w:hAnsi="Gill Sans MT" w:eastAsia="Gill Sans MT"/>
        <w:color w:val="000000"/>
        <w:spacing w:val="0"/>
        <w:w w:val="100"/>
        <w:sz w:val="22"/>
        <w:vertAlign w:val="baseline"/>
        <w:lang w:val="cs-CZ"/>
      </w:rPr>
    </w:lvl>
  </w:abstractNum>
  <w:abstractNum w:abstractNumId="4">
    <w:lvl w:ilvl="0">
      <w:start w:val="1"/>
      <w:numFmt w:val="decimal"/>
      <w:lvlText w:val="%1."/>
      <w:pPr>
        <w:tabs>
          <w:tab w:val="left" w:pos="144"/>
        </w:tabs>
      </w:pPr>
      <w:rPr>
        <w:rFonts w:ascii="Gill Sans MT" w:hAnsi="Gill Sans MT" w:eastAsia="Gill Sans MT"/>
        <w:color w:val="000000"/>
        <w:spacing w:val="0"/>
        <w:w w:val="100"/>
        <w:sz w:val="22"/>
        <w:vertAlign w:val="baseline"/>
        <w:lang w:val="cs-CZ"/>
      </w:rPr>
    </w:lvl>
  </w:abstractNum>
  <w:abstractNum w:abstractNumId="5">
    <w:lvl w:ilvl="0">
      <w:start w:val="1"/>
      <w:numFmt w:val="lowerLetter"/>
      <w:lvlText w:val="%1)"/>
      <w:pPr>
        <w:tabs>
          <w:tab w:val="left" w:pos="360"/>
        </w:tabs>
      </w:pPr>
      <w:rPr>
        <w:rFonts w:ascii="Gill Sans MT" w:hAnsi="Gill Sans MT" w:eastAsia="Gill Sans MT"/>
        <w:color w:val="000000"/>
        <w:spacing w:val="-2"/>
        <w:w w:val="100"/>
        <w:sz w:val="22"/>
        <w:vertAlign w:val="baseline"/>
        <w:lang w:val="cs-CZ"/>
      </w:rPr>
    </w:lvl>
  </w:abstractNum>
  <w:abstractNum w:abstractNumId="6">
    <w:lvl w:ilvl="0">
      <w:start w:val="1"/>
      <w:numFmt w:val="decimal"/>
      <w:lvlText w:val="%1."/>
      <w:pPr>
        <w:tabs>
          <w:tab w:val="left" w:pos="288"/>
        </w:tabs>
      </w:pPr>
      <w:rPr>
        <w:rFonts w:ascii="Gill Sans MT" w:hAnsi="Gill Sans MT" w:eastAsia="Gill Sans MT"/>
        <w:color w:val="000000"/>
        <w:spacing w:val="0"/>
        <w:w w:val="100"/>
        <w:sz w:val="22"/>
        <w:vertAlign w:val="baseline"/>
        <w:lang w:val="cs-CZ"/>
      </w:rPr>
    </w:lvl>
  </w:abstractNum>
  <w:abstractNum w:abstractNumId="7">
    <w:lvl w:ilvl="0">
      <w:start w:val="1"/>
      <w:numFmt w:val="lowerLetter"/>
      <w:lvlText w:val="%1)"/>
      <w:pPr>
        <w:tabs>
          <w:tab w:val="left" w:pos="216"/>
        </w:tabs>
      </w:pPr>
      <w:rPr>
        <w:rFonts w:ascii="Gill Sans MT" w:hAnsi="Gill Sans MT" w:eastAsia="Gill Sans MT"/>
        <w:color w:val="000000"/>
        <w:spacing w:val="0"/>
        <w:w w:val="100"/>
        <w:sz w:val="22"/>
        <w:vertAlign w:val="baseline"/>
        <w:lang w:val="cs-CZ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http://www.ppas.cz/info"/><Relationship Id="dhId2" Type="http://schemas.openxmlformats.org/officeDocument/2006/relationships/hyperlink" TargetMode="External" Target="mailto:samoodecet@ppas.cz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app.xml><?xml version="1.0" encoding="utf-8"?>
<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 xmlns="http://schemas.openxmlformats.org/officeDocument/2006/extended-properties"/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:title>SML_MO_2025_2027 -plyn</dc:title>
  <dc:creator>Klementová Alice</dc:creator>
  <dcterms:created xsi:type="dcterms:W3CDTF">2024-06-25T07:33:13Z</dcterms:created>
  <dcterms:modified xsi:type="dcterms:W3CDTF">2024-06-25T07:33:13Z</dcterms:modified>
</cp:coreProperties>
</file>