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44" w:after="0" w:line="266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color w:val="000000"/>
          <w:spacing w:val="-1"/>
          <w:w w:val="100"/>
          <w:sz w:val="24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-1"/>
          <w:w w:val="100"/>
          <w:sz w:val="24"/>
          <w:vertAlign w:val="baseline"/>
          <w:lang w:val="cs-CZ"/>
        </w:rPr>
        <w:t xml:space="preserve">Příloha č. 2 B</w:t>
      </w:r>
    </w:p>
    <w:p>
      <w:pPr>
        <w:spacing w:before="190" w:after="0" w:line="246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4"/>
          <w:u w:val="single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4"/>
          <w:u w:val="single"/>
          <w:vertAlign w:val="baseline"/>
          <w:lang w:val="cs-CZ"/>
        </w:rPr>
        <w:t xml:space="preserve">Způsob realizace postupného nákupu – aditivní koeficient </w:t>
      </w:r>
    </w:p>
    <w:p>
      <w:pPr>
        <w:spacing w:before="161" w:after="0" w:line="26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Zadavatel požaduje plnění dodávky způsobem postupného nákupu zemního plynu v období od 1. 1. 2025 6:00 hod. do 1.1.2028 do 6.00 hod.</w:t>
      </w:r>
    </w:p>
    <w:p>
      <w:pPr>
        <w:numPr>
          <w:ilvl w:val="0"/>
          <w:numId w:val="1"/>
        </w:numPr>
        <w:tabs>
          <w:tab w:val="clear" w:pos="432"/>
          <w:tab w:val="left" w:pos="432"/>
        </w:tabs>
        <w:spacing w:before="313" w:after="0" w:line="228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-4"/>
          <w:w w:val="100"/>
          <w:sz w:val="22"/>
          <w:u w:val="single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-4"/>
          <w:w w:val="100"/>
          <w:sz w:val="22"/>
          <w:u w:val="single"/>
          <w:vertAlign w:val="baseline"/>
          <w:lang w:val="cs-CZ"/>
        </w:rPr>
        <w:t xml:space="preserve">Realizace nákupu: </w:t>
      </w:r>
    </w:p>
    <w:p>
      <w:pPr>
        <w:spacing w:before="221" w:after="0" w:line="30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Postupný nákup bude realizován na základě příkazů k nákupu jednotlivých velkoobchodních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ročních </w:t>
      </w: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produktů na burze EEX (</w:t>
      </w:r>
      <w:hyperlink r:id="dhId1">
        <w:r>
          <w:rPr>
            <w:rFonts w:ascii="Calibri" w:hAnsi="Calibri" w:eastAsia="Calibri"/>
            <w:color w:val="0000FF"/>
            <w:spacing w:val="-2"/>
            <w:w w:val="100"/>
            <w:sz w:val="22"/>
            <w:u w:val="single"/>
            <w:vertAlign w:val="baseline"/>
            <w:lang w:val="cs-CZ"/>
          </w:rPr>
          <w:t xml:space="preserve">https://www.eex.com/en/market-data/natural-gas/futures),</w:t>
        </w:r>
      </w:hyperlink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 nebo po dohodě obou smluvních stran na nejblíže příbuzné obchodní platformě. V příkazu zadavatel určí, kolik komodity v %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2"/>
          <w:vertAlign w:val="baseline"/>
          <w:lang w:val="cs-CZ"/>
        </w:rPr>
        <w:t xml:space="preserve">z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předpokládaného ročního množství </w:t>
      </w: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pro něj má dodavatel nakoupit a v jakém termínu.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Nejmenší množství nákupu je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2"/>
          <w:vertAlign w:val="baseline"/>
          <w:lang w:val="cs-CZ"/>
        </w:rPr>
        <w:t xml:space="preserve">25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% z předpokládaného ročního množství </w:t>
      </w: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– nákup na každý jednotlivý rok dodávky je tedy možno realizovat maximálně 4 (čtyřmi) nákupy (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za celé období dodávky tedy maximálně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2"/>
          <w:vertAlign w:val="baseline"/>
          <w:lang w:val="cs-CZ"/>
        </w:rPr>
        <w:t xml:space="preserve">12 n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ákupů</w:t>
      </w: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). Postupný nákup bude realizován formou nákupu velkoobchodních produktů před začátkem dodávky daného roku. 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2"/>
          <w:vertAlign w:val="baseline"/>
          <w:lang w:val="cs-CZ"/>
        </w:rPr>
        <w:t xml:space="preserve">Zadavate</w:t>
      </w:r>
      <w:r>
        <w:rPr>
          <w:rFonts w:ascii="Calibri" w:hAnsi="Calibri" w:eastAsia="Calibri"/>
          <w:b w:val="true"/>
          <w:color w:val="000000"/>
          <w:spacing w:val="-2"/>
          <w:w w:val="100"/>
          <w:sz w:val="23"/>
          <w:vertAlign w:val="baseline"/>
          <w:lang w:val="cs-CZ"/>
        </w:rPr>
        <w:t xml:space="preserve">l dá příkaz k nákupu nejpozději do 15. 12. roku před začátkem dodávky daného roku do výše 100 % předpokládaného ročního množství </w:t>
      </w: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objemu zemního plynu, pokud se zadavatel s dodavatelem nedohodnou jinak. V případě, že zadavatel tento příkaz k nákupu neučiní do uvedeného data, učiní jej za něj dodavatel způsobem, který specifikuje v návrhu smlouvy.</w:t>
      </w:r>
    </w:p>
    <w:p>
      <w:pPr>
        <w:spacing w:before="123" w:after="0" w:line="30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Jednotlivé nákupy budou stvrzeny oboustranně podepsanou konfirmací, jež bude podepsaná zadavatelem zasílána ve formátu PDF, a to na e-mailovou adresu dodavatele, případně budou jednotlivé nákupy provedeny prostřednictvím zákaznického portálu dodavatele, případně budou nákupy realizovány prostřednictvím zaznamenávaného telefonického hovoru.</w:t>
      </w:r>
    </w:p>
    <w:p>
      <w:pPr>
        <w:spacing w:before="121" w:after="0" w:line="308" w:lineRule="exact"/>
        <w:ind w:right="144" w:left="0" w:firstLine="0"/>
        <w:jc w:val="both"/>
        <w:textAlignment w:val="baseline"/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  <w:t xml:space="preserve">Cena účtovaná dodavatelem zadavatel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2"/>
          <w:vertAlign w:val="baseline"/>
          <w:lang w:val="cs-CZ"/>
        </w:rPr>
        <w:t xml:space="preserve">i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  <w:t xml:space="preserve">bude určena pomocí aditivního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2"/>
          <w:vertAlign w:val="baseline"/>
          <w:lang w:val="cs-CZ"/>
        </w:rPr>
        <w:t xml:space="preserve">koeficientu,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  <w:t xml:space="preserve">který se bude přičítat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2"/>
          <w:vertAlign w:val="baseline"/>
          <w:lang w:val="cs-CZ"/>
        </w:rPr>
        <w:t xml:space="preserve">k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  <w:t xml:space="preserve">aktuální tržní ceně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2"/>
          <w:vertAlign w:val="baseline"/>
          <w:lang w:val="cs-CZ"/>
        </w:rPr>
        <w:t xml:space="preserve">komodity </w:t>
      </w:r>
      <w:r>
        <w:rPr>
          <w:rFonts w:ascii="Calibri" w:hAnsi="Calibri" w:eastAsia="Calibri"/>
          <w:b w:val="true"/>
          <w:color w:val="000000"/>
          <w:spacing w:val="-3"/>
          <w:w w:val="100"/>
          <w:sz w:val="23"/>
          <w:vertAlign w:val="baseline"/>
          <w:lang w:val="cs-CZ"/>
        </w:rPr>
        <w:t xml:space="preserve">zemní plyn </w:t>
      </w:r>
      <w:r>
        <w:rPr>
          <w:rFonts w:ascii="Calibri" w:hAnsi="Calibri" w:eastAsia="Calibri"/>
          <w:color w:val="000000"/>
          <w:spacing w:val="-3"/>
          <w:w w:val="100"/>
          <w:sz w:val="22"/>
          <w:vertAlign w:val="baseline"/>
          <w:lang w:val="cs-CZ"/>
        </w:rPr>
        <w:t xml:space="preserve">na burze EEX </w:t>
      </w:r>
      <w:hyperlink r:id="dhId2">
        <w:r>
          <w:rPr>
            <w:rFonts w:ascii="Calibri" w:hAnsi="Calibri" w:eastAsia="Calibri"/>
            <w:color w:val="0000FF"/>
            <w:spacing w:val="-3"/>
            <w:w w:val="100"/>
            <w:sz w:val="22"/>
            <w:u w:val="single"/>
            <w:vertAlign w:val="baseline"/>
            <w:lang w:val="cs-CZ"/>
          </w:rPr>
          <w:t xml:space="preserve">((https://www.eex.com/en/market-data/natural-gas/futures) </w:t>
        </w:r>
      </w:hyperlink>
      <w:r>
        <w:rPr>
          <w:rFonts w:ascii="Calibri" w:hAnsi="Calibri" w:eastAsia="Calibri"/>
          <w:color w:val="000000"/>
          <w:spacing w:val="-3"/>
          <w:w w:val="100"/>
          <w:sz w:val="22"/>
          <w:vertAlign w:val="baseline"/>
          <w:lang w:val="cs-CZ"/>
        </w:rPr>
        <w:t xml:space="preserve">v den nákupu. Pro nákup se bere hodnota „best ask“ aktuálního obchodního dne produkt Baseload v EUR/MWh (CAL-25, CAL-26 a CAL-27).</w:t>
      </w:r>
    </w:p>
    <w:p>
      <w:pPr>
        <w:spacing w:before="121" w:after="0" w:line="30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Tuto hodnotu musí dodavatel zadavateli na vyžádání sdělit (telefonicky, e-mailem), případně zpřístupnit prostřednictvím zákaznického portálu každý všední den.</w:t>
      </w:r>
    </w:p>
    <w:p>
      <w:pPr>
        <w:spacing w:before="425" w:after="489" w:line="30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Pokud se v průběhu postupného nákupu změní výrazným způsobem podmínky nákupu zemního plynu, tak se pro postupný nákup bere nejbližší možný příbuzný obchodní produkt. V případě ukončení činnosti burzy EEX</w:t>
      </w:r>
      <w:r>
        <w:rPr>
          <w:rFonts w:ascii="Calibri" w:hAnsi="Calibri" w:eastAsia="Calibri"/>
          <w:color w:val="0000FF"/>
          <w:spacing w:val="-2"/>
          <w:w w:val="100"/>
          <w:sz w:val="22"/>
          <w:vertAlign w:val="baseline"/>
          <w:lang w:val="cs-CZ"/>
        </w:rPr>
        <w:t xml:space="preserve"> </w:t>
      </w:r>
      <w:hyperlink r:id="dhId3">
        <w:r>
          <w:rPr>
            <w:rFonts w:ascii="Calibri" w:hAnsi="Calibri" w:eastAsia="Calibri"/>
            <w:color w:val="0000FF"/>
            <w:spacing w:val="-2"/>
            <w:w w:val="100"/>
            <w:sz w:val="22"/>
            <w:u w:val="single"/>
            <w:vertAlign w:val="baseline"/>
            <w:lang w:val="cs-CZ"/>
          </w:rPr>
          <w:t xml:space="preserve">(</w:t>
        </w:r>
      </w:hyperlink>
      <w:hyperlink r:id="dhId3">
        <w:r>
          <w:rPr>
            <w:rFonts w:ascii="Calibri" w:hAnsi="Calibri" w:eastAsia="Calibri"/>
            <w:color w:val="0000FF"/>
            <w:spacing w:val="-2"/>
            <w:w w:val="100"/>
            <w:sz w:val="22"/>
            <w:u w:val="single"/>
            <w:vertAlign w:val="baseline"/>
            <w:lang w:val="cs-CZ"/>
          </w:rPr>
          <w:t xml:space="preserve">https://www.eex.com</w:t>
        </w:r>
      </w:hyperlink>
      <w:hyperlink r:id="dhId3">
        <w:r>
          <w:rPr>
            <w:rFonts w:ascii="Calibri" w:hAnsi="Calibri" w:eastAsia="Calibri"/>
            <w:color w:val="0000FF"/>
            <w:spacing w:val="-2"/>
            <w:w w:val="100"/>
            <w:sz w:val="22"/>
            <w:u w:val="single"/>
            <w:vertAlign w:val="baseline"/>
            <w:lang w:val="cs-CZ"/>
          </w:rPr>
          <w:t xml:space="preserve">)</w:t>
        </w:r>
      </w:hyperlink>
      <w:r>
        <w:rPr>
          <w:rFonts w:ascii="Calibri" w:hAnsi="Calibri" w:eastAsia="Calibri"/>
          <w:color w:val="000000"/>
          <w:spacing w:val="-2"/>
          <w:w w:val="100"/>
          <w:sz w:val="22"/>
          <w:vertAlign w:val="baseline"/>
          <w:lang w:val="cs-CZ"/>
        </w:rPr>
        <w:t xml:space="preserve"> budou akceptovány velkoobchodní produkty nejblíže příbuzné obchodní platformy, pokud nebude dohodnuto mezi zadavatelem a dodavatelem jinak.</w:t>
      </w:r>
    </w:p>
    <w:p>
      <w:pPr>
        <w:pBdr>
          <w:top w:sz="5" w:space="1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0" w:after="0" w:line="23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-1"/>
          <w:w w:val="100"/>
          <w:sz w:val="23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-1"/>
          <w:w w:val="100"/>
          <w:sz w:val="23"/>
          <w:vertAlign w:val="baseline"/>
          <w:lang w:val="cs-CZ"/>
        </w:rPr>
        <w:t xml:space="preserve">Cena nákupu v CZK =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2"/>
          <w:vertAlign w:val="baseline"/>
          <w:lang w:val="cs-CZ"/>
        </w:rPr>
        <w:t xml:space="preserve">(cena EEX </w:t>
      </w:r>
      <w:r>
        <w:rPr>
          <w:rFonts w:ascii="Calibri" w:hAnsi="Calibri" w:eastAsia="Calibri"/>
          <w:i w:val="true"/>
          <w:color w:val="000000"/>
          <w:spacing w:val="-1"/>
          <w:w w:val="100"/>
          <w:sz w:val="22"/>
          <w:vertAlign w:val="baseline"/>
          <w:lang w:val="cs-CZ"/>
        </w:rPr>
        <w:t xml:space="preserve">(best ask)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3"/>
          <w:vertAlign w:val="baseline"/>
          <w:lang w:val="cs-CZ"/>
        </w:rPr>
        <w:t xml:space="preserve">daného produktu </w:t>
      </w:r>
      <w:r>
        <w:rPr>
          <w:rFonts w:ascii="Calibri" w:hAnsi="Calibri" w:eastAsia="Calibri"/>
          <w:i w:val="true"/>
          <w:color w:val="000000"/>
          <w:spacing w:val="-1"/>
          <w:w w:val="100"/>
          <w:sz w:val="22"/>
          <w:vertAlign w:val="baseline"/>
          <w:lang w:val="cs-CZ"/>
        </w:rPr>
        <w:t xml:space="preserve">(EUR/MWh)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2"/>
          <w:vertAlign w:val="baseline"/>
          <w:lang w:val="cs-CZ"/>
        </w:rPr>
        <w:t xml:space="preserve">+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3"/>
          <w:vertAlign w:val="baseline"/>
          <w:lang w:val="cs-CZ"/>
        </w:rPr>
        <w:t xml:space="preserve">aditivní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2"/>
          <w:vertAlign w:val="baseline"/>
          <w:lang w:val="cs-CZ"/>
        </w:rPr>
        <w:t xml:space="preserve">koeficient) * kurz</w:t>
      </w:r>
    </w:p>
    <w:p>
      <w:pPr>
        <w:pBdr>
          <w:top w:sz="5" w:space="1" w:color="000000" w:val="single"/>
          <w:left w:sz="5" w:space="0" w:color="000000" w:val="single"/>
          <w:bottom w:sz="5" w:space="0" w:color="000000" w:val="single"/>
          <w:right w:sz="5" w:space="0" w:color="000000" w:val="single"/>
        </w:pBdr>
        <w:spacing w:before="42" w:after="415" w:line="222" w:lineRule="exact"/>
        <w:ind w:right="0" w:left="0" w:firstLine="0"/>
        <w:jc w:val="center"/>
        <w:textAlignment w:val="baseline"/>
        <w:rPr>
          <w:rFonts w:ascii="Calibri" w:hAnsi="Calibri" w:eastAsia="Calibri"/>
          <w:i w:val="true"/>
          <w:color w:val="000000"/>
          <w:spacing w:val="-1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i w:val="true"/>
          <w:color w:val="000000"/>
          <w:spacing w:val="-1"/>
          <w:w w:val="100"/>
          <w:sz w:val="22"/>
          <w:vertAlign w:val="baseline"/>
          <w:lang w:val="cs-CZ"/>
        </w:rPr>
        <w:t xml:space="preserve">(CZK/EUR)</w:t>
      </w:r>
    </w:p>
    <w:p>
      <w:pPr>
        <w:numPr>
          <w:ilvl w:val="0"/>
          <w:numId w:val="1"/>
        </w:numPr>
        <w:tabs>
          <w:tab w:val="clear" w:pos="432"/>
          <w:tab w:val="left" w:pos="432"/>
        </w:tabs>
        <w:spacing w:before="31" w:after="0" w:line="231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-1"/>
          <w:w w:val="100"/>
          <w:sz w:val="22"/>
          <w:u w:val="single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-1"/>
          <w:w w:val="100"/>
          <w:sz w:val="22"/>
          <w:u w:val="single"/>
          <w:vertAlign w:val="baseline"/>
          <w:lang w:val="cs-CZ"/>
        </w:rPr>
        <w:t xml:space="preserve">Ostatní ujednání</w:t>
      </w:r>
    </w:p>
    <w:p>
      <w:pPr>
        <w:spacing w:before="73" w:after="768" w:line="309" w:lineRule="exact"/>
        <w:ind w:right="144" w:left="0" w:firstLine="0"/>
        <w:jc w:val="both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Pro přepočet na českou korunu se bere směnný kurz CZK/EUR České národní banky vyhlášený pro pracovní den předcházející dni nákupu.</w:t>
      </w:r>
    </w:p>
    <w:p>
      <w:pPr>
        <w:spacing w:before="73" w:after="768" w:line="309" w:lineRule="exact"/>
        <w:sectPr>
          <w:type w:val="nextPage"/>
          <w:pgSz w:w="11909" w:h="16838" w:orient="portrait"/>
          <w:pgMar w:bottom="542" w:top="1400" w:right="1291" w:left="1378" w:header="720" w:footer="720"/>
          <w:titlePg w:val="false"/>
          <w:textDirection w:val="lrTb"/>
        </w:sectPr>
      </w:pPr>
    </w:p>
    <w:p>
      <w:pPr>
        <w:spacing w:before="35" w:after="0" w:line="221" w:lineRule="exact"/>
        <w:ind w:right="0" w:left="0" w:firstLine="0"/>
        <w:jc w:val="center"/>
        <w:textAlignment w:val="baseline"/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  <w:t xml:space="preserve">Stránka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0"/>
          <w:vertAlign w:val="baseline"/>
          <w:lang w:val="cs-CZ"/>
        </w:rPr>
        <w:t xml:space="preserve">1 </w:t>
      </w:r>
      <w:r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  <w:t xml:space="preserve">z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0"/>
          <w:vertAlign w:val="baseline"/>
          <w:lang w:val="cs-CZ"/>
        </w:rPr>
        <w:t xml:space="preserve">2</w:t>
      </w:r>
    </w:p>
    <w:p>
      <w:pPr>
        <w:sectPr>
          <w:type w:val="continuous"/>
          <w:pgSz w:w="11909" w:h="16838" w:orient="portrait"/>
          <w:pgMar w:bottom="542" w:top="1400" w:right="1291" w:left="1378" w:header="720" w:footer="720"/>
          <w:titlePg w:val="false"/>
          <w:textDirection w:val="lrTb"/>
        </w:sectPr>
      </w:pPr>
    </w:p>
    <w:p>
      <w:pPr>
        <w:spacing w:before="0" w:after="0" w:line="286" w:lineRule="exact"/>
        <w:ind w:right="72" w:left="72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Ceny jednotlivých nákupů, stejně jako výsledná cena k fakturaci, se zaokrouhlí matematicky na 2 desetinná místa.</w:t>
      </w:r>
    </w:p>
    <w:p>
      <w:pPr>
        <w:spacing w:before="126" w:after="0" w:line="307" w:lineRule="exact"/>
        <w:ind w:right="72" w:left="72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Koeficient pro postupný nákup obsahuje veškeré náklady na obstarání a dodávku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cs-CZ"/>
        </w:rPr>
        <w:t xml:space="preserve">komodity, přepravy a strukturování</w:t>
      </w:r>
      <w:r>
        <w:rPr>
          <w:rFonts w:ascii="Calibri" w:hAnsi="Calibri" w:eastAsia="Calibri"/>
          <w:color w:val="000000"/>
          <w:spacing w:val="0"/>
          <w:w w:val="100"/>
          <w:sz w:val="22"/>
          <w:vertAlign w:val="baseline"/>
          <w:lang w:val="cs-CZ"/>
        </w:rPr>
        <w:t xml:space="preserve">, tj. dodavatel není oprávněn v obchodní (neregulované) části fakturovat jakékoli další poplatky.</w:t>
      </w:r>
    </w:p>
    <w:p>
      <w:pPr>
        <w:tabs>
          <w:tab w:val="left" w:leader="none" w:pos="432"/>
        </w:tabs>
        <w:spacing w:before="201" w:after="0" w:line="247" w:lineRule="exact"/>
        <w:ind w:right="72" w:left="72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2"/>
          <w:vertAlign w:val="baseline"/>
          <w:lang w:val="cs-CZ"/>
        </w:rPr>
        <w:t xml:space="preserve">3.	</w:t>
      </w:r>
      <w:r>
        <w:rPr>
          <w:rFonts w:ascii="Calibri" w:hAnsi="Calibri" w:eastAsia="Calibri"/>
          <w:b w:val="true"/>
          <w:color w:val="000000"/>
          <w:spacing w:val="0"/>
          <w:w w:val="100"/>
          <w:sz w:val="22"/>
          <w:u w:val="single"/>
          <w:vertAlign w:val="baseline"/>
          <w:lang w:val="cs-CZ"/>
        </w:rPr>
        <w:t xml:space="preserve">Určení ceny k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2"/>
          <w:u w:val="single"/>
          <w:vertAlign w:val="baseline"/>
          <w:lang w:val="cs-CZ"/>
        </w:rPr>
        <w:t xml:space="preserve">fakturaci:</w:t>
      </w:r>
    </w:p>
    <w:p>
      <w:pPr>
        <w:spacing w:before="109" w:after="0" w:line="307" w:lineRule="exact"/>
        <w:ind w:right="72" w:left="72" w:firstLine="0"/>
        <w:jc w:val="left"/>
        <w:textAlignment w:val="baseline"/>
        <w:rPr>
          <w:rFonts w:ascii="Calibri" w:hAnsi="Calibri" w:eastAsia="Calibri"/>
          <w:color w:val="000000"/>
          <w:spacing w:val="-1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-1"/>
          <w:w w:val="100"/>
          <w:sz w:val="22"/>
          <w:vertAlign w:val="baseline"/>
          <w:lang w:val="cs-CZ"/>
        </w:rPr>
        <w:t xml:space="preserve">Do konce daného kalendářního roku předcházejícího roku dodávky bude z realizovaných nákupů proveden </w:t>
      </w:r>
      <w:r>
        <w:rPr>
          <w:rFonts w:ascii="Calibri" w:hAnsi="Calibri" w:eastAsia="Calibri"/>
          <w:b w:val="true"/>
          <w:color w:val="000000"/>
          <w:spacing w:val="-1"/>
          <w:w w:val="100"/>
          <w:sz w:val="23"/>
          <w:vertAlign w:val="baseline"/>
          <w:lang w:val="cs-CZ"/>
        </w:rPr>
        <w:t xml:space="preserve">vážený průměr </w:t>
      </w:r>
      <w:r>
        <w:rPr>
          <w:rFonts w:ascii="Calibri" w:hAnsi="Calibri" w:eastAsia="Calibri"/>
          <w:color w:val="000000"/>
          <w:spacing w:val="-1"/>
          <w:w w:val="100"/>
          <w:sz w:val="22"/>
          <w:vertAlign w:val="baseline"/>
          <w:lang w:val="cs-CZ"/>
        </w:rPr>
        <w:t xml:space="preserve">a stanoví se výsledná cena nákupu pro daný rok dodávky = fakturační cena.</w:t>
      </w:r>
    </w:p>
    <w:p>
      <w:pPr>
        <w:spacing w:before="433" w:after="10401" w:line="307" w:lineRule="exact"/>
        <w:ind w:right="72" w:left="72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2"/>
          <w:vertAlign w:val="baseline"/>
          <w:lang w:val="cs-CZ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2"/>
          <w:vertAlign w:val="baseline"/>
          <w:lang w:val="cs-CZ"/>
        </w:rPr>
        <w:t xml:space="preserve">V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cs-CZ"/>
        </w:rPr>
        <w:t xml:space="preserve">případě rozporu mezi zněním návrhu smlouvy o sdružených službách dodávky plynu a zněním této přílohy má přednost znění tato příloha, která je nedílnou součástí smlouvy.</w:t>
      </w:r>
    </w:p>
    <w:p>
      <w:pPr>
        <w:spacing w:before="433" w:after="10401" w:line="307" w:lineRule="exact"/>
        <w:sectPr>
          <w:type w:val="nextPage"/>
          <w:pgSz w:w="11909" w:h="16838" w:orient="portrait"/>
          <w:pgMar w:bottom="542" w:top="1400" w:right="1332" w:left="1337" w:header="720" w:footer="720"/>
          <w:titlePg w:val="false"/>
          <w:textDirection w:val="lrTb"/>
        </w:sectPr>
      </w:pPr>
    </w:p>
    <w:p>
      <w:pPr>
        <w:spacing w:before="35" w:after="0" w:line="221" w:lineRule="exact"/>
        <w:ind w:right="0" w:left="0" w:firstLine="0"/>
        <w:jc w:val="center"/>
        <w:textAlignment w:val="baseline"/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</w:pPr>
      <w:r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  <w:t xml:space="preserve">Stránka </w:t>
      </w:r>
      <w:r>
        <w:rPr>
          <w:rFonts w:ascii="Calibri" w:hAnsi="Calibri" w:eastAsia="Calibri"/>
          <w:b w:val="true"/>
          <w:color w:val="000000"/>
          <w:spacing w:val="0"/>
          <w:w w:val="100"/>
          <w:sz w:val="19"/>
          <w:vertAlign w:val="baseline"/>
          <w:lang w:val="cs-CZ"/>
        </w:rPr>
        <w:t xml:space="preserve">2 </w:t>
      </w:r>
      <w:r>
        <w:rPr>
          <w:rFonts w:ascii="Calibri" w:hAnsi="Calibri" w:eastAsia="Calibri"/>
          <w:color w:val="000000"/>
          <w:spacing w:val="0"/>
          <w:w w:val="100"/>
          <w:sz w:val="20"/>
          <w:vertAlign w:val="baseline"/>
          <w:lang w:val="cs-CZ"/>
        </w:rPr>
        <w:t xml:space="preserve">z </w:t>
      </w:r>
      <w:r>
        <w:rPr>
          <w:rFonts w:ascii="Calibri" w:hAnsi="Calibri" w:eastAsia="Calibri"/>
          <w:b w:val="true"/>
          <w:color w:val="000000"/>
          <w:spacing w:val="0"/>
          <w:w w:val="100"/>
          <w:sz w:val="19"/>
          <w:vertAlign w:val="baseline"/>
          <w:lang w:val="cs-CZ"/>
        </w:rPr>
        <w:t xml:space="preserve">2</w:t>
      </w:r>
    </w:p>
    <w:sectPr>
      <w:type w:val="continuous"/>
      <w:pgSz w:w="11909" w:h="16838" w:orient="portrait"/>
      <w:pgMar w:bottom="542" w:top="1400" w:right="1337" w:left="133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432"/>
        </w:tabs>
      </w:pPr>
      <w:rPr>
        <w:rFonts w:ascii="Calibri" w:hAnsi="Calibri" w:eastAsia="Calibri"/>
        <w:b w:val="true"/>
        <w:color w:val="000000"/>
        <w:spacing w:val="-4"/>
        <w:w w:val="100"/>
        <w:sz w:val="22"/>
        <w:u w:val="single"/>
        <w:vertAlign w:val="baseline"/>
        <w:lang w:val="cs-CZ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s://www.eex.com/en/market-data/natural-gas/futures),"/><Relationship Id="dhId2" Type="http://schemas.openxmlformats.org/officeDocument/2006/relationships/hyperlink" TargetMode="External" Target="http://www.pxe.cz/"/><Relationship Id="dhId3" Type="http://schemas.openxmlformats.org/officeDocument/2006/relationships/hyperlink" TargetMode="External" Target="https://www.eex.com/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Šimková Iva (MHMP, VEZ)</dc:creator>
  <dcterms:created xsi:type="dcterms:W3CDTF">2024-06-25T07:46:59Z</dcterms:created>
  <dcterms:modified xsi:type="dcterms:W3CDTF">2024-06-25T07:46:59Z</dcterms:modified>
</cp:coreProperties>
</file>