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19" w:after="19" w:line="240" w:lineRule="exact"/>
        <w:rPr>
          <w:sz w:val="19"/>
          <w:szCs w:val="19"/>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077" w:left="1239" w:right="830" w:bottom="1514"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6"/>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1"/>
        <w:keepNext/>
        <w:keepLines/>
        <w:widowControl w:val="0"/>
        <w:shd w:val="clear" w:color="auto" w:fill="auto"/>
        <w:tabs>
          <w:tab w:pos="3538" w:val="left"/>
        </w:tabs>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w:t>
        <w:tab/>
        <w:t>771/2024</w:t>
      </w:r>
      <w:bookmarkEnd w:id="0"/>
      <w:bookmarkEnd w:id="1"/>
      <w:bookmarkEnd w:id="2"/>
    </w:p>
    <w:p>
      <w:pPr>
        <w:pStyle w:val="Style6"/>
        <w:keepNext w:val="0"/>
        <w:keepLines w:val="0"/>
        <w:widowControl w:val="0"/>
        <w:shd w:val="clear" w:color="auto" w:fill="auto"/>
        <w:bidi w:val="0"/>
        <w:spacing w:before="0" w:after="440" w:line="240" w:lineRule="auto"/>
        <w:ind w:left="0" w:right="0" w:firstLine="0"/>
        <w:jc w:val="center"/>
      </w:pPr>
      <w:r>
        <w:rPr>
          <w:color w:val="000000"/>
          <w:spacing w:val="0"/>
          <w:w w:val="100"/>
          <w:position w:val="0"/>
          <w:shd w:val="clear" w:color="auto" w:fill="auto"/>
          <w:lang w:val="cs-CZ" w:eastAsia="cs-CZ" w:bidi="cs-CZ"/>
        </w:rPr>
        <w:t>Číslo smlouvy zhotovitele: 06-O-4506-15410/24</w:t>
      </w:r>
    </w:p>
    <w:p>
      <w:pPr>
        <w:pStyle w:val="Style6"/>
        <w:keepNext w:val="0"/>
        <w:keepLines w:val="0"/>
        <w:widowControl w:val="0"/>
        <w:shd w:val="clear" w:color="auto" w:fill="auto"/>
        <w:bidi w:val="0"/>
        <w:spacing w:before="0" w:after="180" w:line="298" w:lineRule="auto"/>
        <w:ind w:left="0" w:right="0" w:firstLine="920"/>
        <w:jc w:val="both"/>
      </w:pPr>
      <w:r>
        <mc:AlternateContent>
          <mc:Choice Requires="wps">
            <w:drawing>
              <wp:anchor distT="0" distB="0" distL="114300" distR="114300" simplePos="0" relativeHeight="125829378" behindDoc="0" locked="0" layoutInCell="1" allowOverlap="1">
                <wp:simplePos x="0" y="0"/>
                <wp:positionH relativeFrom="page">
                  <wp:posOffset>3484245</wp:posOffset>
                </wp:positionH>
                <wp:positionV relativeFrom="paragraph">
                  <wp:posOffset>647700</wp:posOffset>
                </wp:positionV>
                <wp:extent cx="2228215" cy="389890"/>
                <wp:wrapSquare wrapText="left"/>
                <wp:docPr id="5" name="Shape 5"/>
                <a:graphic xmlns:a="http://schemas.openxmlformats.org/drawingml/2006/main">
                  <a:graphicData uri="http://schemas.microsoft.com/office/word/2010/wordprocessingShape">
                    <wps:wsp>
                      <wps:cNvSpPr txBox="1"/>
                      <wps:spPr>
                        <a:xfrm>
                          <a:ext cx="2228215" cy="389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1" type="#_x0000_t202" style="position:absolute;margin-left:274.35000000000002pt;margin-top:51.pt;width:175.45000000000002pt;height:30.6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3484245</wp:posOffset>
                </wp:positionH>
                <wp:positionV relativeFrom="paragraph">
                  <wp:posOffset>1930400</wp:posOffset>
                </wp:positionV>
                <wp:extent cx="844550" cy="387350"/>
                <wp:wrapSquare wrapText="left"/>
                <wp:docPr id="7" name="Shape 7"/>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3" type="#_x0000_t202" style="position:absolute;margin-left:274.35000000000002pt;margin-top:152.pt;width:66.5pt;height:30.5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w:rPr>
          <w:b/>
          <w:bCs/>
          <w:color w:val="000000"/>
          <w:spacing w:val="0"/>
          <w:w w:val="100"/>
          <w:position w:val="0"/>
          <w:sz w:val="24"/>
          <w:szCs w:val="24"/>
          <w:shd w:val="clear" w:color="auto" w:fill="auto"/>
          <w:lang w:val="cs-CZ" w:eastAsia="cs-CZ" w:bidi="cs-CZ"/>
        </w:rPr>
        <w:t xml:space="preserve">Suchá nádrž Dubnice-dokumentace EIA </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 xml:space="preserve">doplnění požadavků KÚLK </w:t>
      </w:r>
      <w:r>
        <w:rPr>
          <w:color w:val="000000"/>
          <w:spacing w:val="0"/>
          <w:w w:val="100"/>
          <w:position w:val="0"/>
          <w:shd w:val="clear" w:color="auto" w:fill="auto"/>
          <w:lang w:val="cs-CZ" w:eastAsia="cs-CZ" w:bidi="cs-CZ"/>
        </w:rPr>
        <w:t xml:space="preserve">Tato smlouva byla uzavřena mezi: </w:t>
      </w: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 zastupuje objednatele:</w:t>
      </w:r>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0" distR="0" simplePos="0" relativeHeight="125829382" behindDoc="0" locked="0" layoutInCell="1" allowOverlap="1">
                <wp:simplePos x="0" y="0"/>
                <wp:positionH relativeFrom="page">
                  <wp:posOffset>786765</wp:posOffset>
                </wp:positionH>
                <wp:positionV relativeFrom="paragraph">
                  <wp:posOffset>647700</wp:posOffset>
                </wp:positionV>
                <wp:extent cx="5833745" cy="1502410"/>
                <wp:wrapTopAndBottom/>
                <wp:docPr id="9" name="Shape 9"/>
                <a:graphic xmlns:a="http://schemas.openxmlformats.org/drawingml/2006/main">
                  <a:graphicData uri="http://schemas.microsoft.com/office/word/2010/wordprocessingShape">
                    <wps:wsp>
                      <wps:cNvSpPr txBox="1"/>
                      <wps:spPr>
                        <a:xfrm>
                          <a:ext cx="5833745" cy="1502410"/>
                        </a:xfrm>
                        <a:prstGeom prst="rect"/>
                        <a:noFill/>
                      </wps:spPr>
                      <wps:txbx>
                        <w:txbxContent>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 oprávněn(i) k podpisu smlouvy: oprávněn(i) jednat o věcech smluvních: oprávněn(i) jednat o věcech technických:</w:t>
                            </w:r>
                          </w:p>
                        </w:txbxContent>
                      </wps:txbx>
                      <wps:bodyPr lIns="0" tIns="0" rIns="0" bIns="0">
                        <a:noAutoFit/>
                      </wps:bodyPr>
                    </wps:wsp>
                  </a:graphicData>
                </a:graphic>
              </wp:anchor>
            </w:drawing>
          </mc:Choice>
          <mc:Fallback>
            <w:pict>
              <v:shape id="_x0000_s1035" type="#_x0000_t202" style="position:absolute;margin-left:61.950000000000003pt;margin-top:51.pt;width:459.35000000000002pt;height:118.3pt;z-index:-125829371;mso-wrap-distance-left:0;mso-wrap-distance-right:0;mso-position-horizontal-relative:page" filled="f" stroked="f">
                <v:textbox inset="0,0,0,0">
                  <w:txbxContent>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 oprávněn(i) k podpisu smlouvy: oprávněn(i) jednat o věcech smluvních: oprávněn(i) jednat o věcech technických:</w:t>
                      </w:r>
                    </w:p>
                  </w:txbxContent>
                </v:textbox>
                <w10:wrap type="topAndBottom" anchorx="page"/>
              </v:shape>
            </w:pict>
          </mc:Fallback>
        </mc:AlternateContent>
      </w:r>
      <w:bookmarkStart w:id="3" w:name="bookmark3"/>
      <w:r>
        <w:rPr>
          <w:color w:val="000000"/>
          <w:spacing w:val="0"/>
          <w:w w:val="100"/>
          <w:position w:val="0"/>
          <w:shd w:val="clear" w:color="auto" w:fill="auto"/>
          <w:lang w:val="cs-CZ" w:eastAsia="cs-CZ" w:bidi="cs-CZ"/>
        </w:rPr>
        <w:t>IČO: DIČ: bankovní spojení: číslo účtu:</w:t>
      </w:r>
      <w:bookmarkEnd w:id="3"/>
    </w:p>
    <w:p>
      <w:pPr>
        <w:pStyle w:val="Style6"/>
        <w:keepNext w:val="0"/>
        <w:keepLines w:val="0"/>
        <w:widowControl w:val="0"/>
        <w:shd w:val="clear" w:color="auto" w:fill="auto"/>
        <w:bidi w:val="0"/>
        <w:spacing w:before="0" w:after="440" w:line="240" w:lineRule="auto"/>
        <w:ind w:left="4400" w:right="0" w:firstLine="20"/>
        <w:jc w:val="left"/>
      </w:pPr>
      <w:r>
        <w:rPr>
          <w:b/>
          <w:bCs/>
          <w:color w:val="000000"/>
          <w:spacing w:val="0"/>
          <w:w w:val="100"/>
          <w:position w:val="0"/>
          <w:shd w:val="clear" w:color="auto" w:fill="auto"/>
          <w:lang w:val="cs-CZ" w:eastAsia="cs-CZ" w:bidi="cs-CZ"/>
        </w:rPr>
        <w:t xml:space="preserve">Vodohospodářský rozvoj a výstavba a.s. </w:t>
      </w:r>
      <w:r>
        <w:rPr>
          <w:color w:val="000000"/>
          <w:spacing w:val="0"/>
          <w:w w:val="100"/>
          <w:position w:val="0"/>
          <w:shd w:val="clear" w:color="auto" w:fill="auto"/>
          <w:lang w:val="cs-CZ" w:eastAsia="cs-CZ" w:bidi="cs-CZ"/>
        </w:rPr>
        <w:t>Nábřežní 90/4, 150 00, Praha 5 – Smíchov</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IČO: 47116901</w:t>
      </w:r>
    </w:p>
    <w:p>
      <w:pPr>
        <w:pStyle w:val="Style6"/>
        <w:keepNext w:val="0"/>
        <w:keepLines w:val="0"/>
        <w:widowControl w:val="0"/>
        <w:shd w:val="clear" w:color="auto" w:fill="auto"/>
        <w:bidi w:val="0"/>
        <w:spacing w:before="0" w:after="180" w:line="240" w:lineRule="auto"/>
        <w:ind w:left="4400" w:right="0" w:firstLine="0"/>
        <w:jc w:val="left"/>
      </w:pPr>
      <w:r>
        <w:rPr>
          <w:color w:val="000000"/>
          <w:spacing w:val="0"/>
          <w:w w:val="100"/>
          <w:position w:val="0"/>
          <w:shd w:val="clear" w:color="auto" w:fill="auto"/>
          <w:lang w:val="cs-CZ" w:eastAsia="cs-CZ" w:bidi="cs-CZ"/>
        </w:rPr>
        <w:t>DIČ: CZ47116901</w:t>
      </w:r>
    </w:p>
    <w:p>
      <w:pPr>
        <w:pStyle w:val="Style11"/>
        <w:keepNext/>
        <w:keepLines/>
        <w:widowControl w:val="0"/>
        <w:shd w:val="clear" w:color="auto" w:fill="auto"/>
        <w:bidi w:val="0"/>
        <w:spacing w:before="0" w:after="0" w:line="240" w:lineRule="auto"/>
        <w:ind w:left="0" w:right="0" w:firstLine="0"/>
        <w:jc w:val="left"/>
      </w:pPr>
      <w:bookmarkStart w:id="4" w:name="bookmark4"/>
      <w:bookmarkStart w:id="5" w:name="bookmark5"/>
      <w:bookmarkStart w:id="6" w:name="bookmark6"/>
      <w:r>
        <w:rPr>
          <w:color w:val="000000"/>
          <w:spacing w:val="0"/>
          <w:w w:val="100"/>
          <w:position w:val="0"/>
          <w:shd w:val="clear" w:color="auto" w:fill="auto"/>
          <w:lang w:val="cs-CZ" w:eastAsia="cs-CZ" w:bidi="cs-CZ"/>
        </w:rPr>
        <w:t>bankovní spojení:</w:t>
      </w:r>
      <w:bookmarkEnd w:id="4"/>
      <w:bookmarkEnd w:id="5"/>
      <w:bookmarkEnd w:id="6"/>
    </w:p>
    <w:p>
      <w:pPr>
        <w:pStyle w:val="Style11"/>
        <w:keepNext/>
        <w:keepLines/>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číslo účtu:</w:t>
      </w:r>
      <w:bookmarkEnd w:id="7"/>
      <w:bookmarkEnd w:id="8"/>
      <w:bookmarkEnd w:id="9"/>
    </w:p>
    <w:p>
      <w:pPr>
        <w:pStyle w:val="Style11"/>
        <w:keepNext/>
        <w:keepLines/>
        <w:widowControl w:val="0"/>
        <w:shd w:val="clear" w:color="auto" w:fill="auto"/>
        <w:bidi w:val="0"/>
        <w:spacing w:before="0" w:after="24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zápis v obchodním rejstříku: veden u Městského soudu v Praze, oddíl B, složka 1930</w:t>
      </w:r>
      <w:bookmarkEnd w:id="10"/>
      <w:bookmarkEnd w:id="11"/>
      <w:bookmarkEnd w:id="12"/>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(dále jen „zhotovitel“)</w:t>
      </w:r>
    </w:p>
    <w:p>
      <w:pPr>
        <w:pStyle w:val="Style6"/>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5"/>
        <w:keepNext/>
        <w:keepLines/>
        <w:widowControl w:val="0"/>
        <w:numPr>
          <w:ilvl w:val="0"/>
          <w:numId w:val="1"/>
        </w:numPr>
        <w:shd w:val="clear" w:color="auto" w:fill="auto"/>
        <w:tabs>
          <w:tab w:pos="485" w:val="left"/>
        </w:tabs>
        <w:bidi w:val="0"/>
        <w:spacing w:before="0" w:after="180" w:line="240" w:lineRule="auto"/>
        <w:ind w:left="0" w:right="0" w:firstLine="0"/>
        <w:jc w:val="center"/>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PŘEDMĚT SMLOUVY A PŘEDMĚT DÍLA</w:t>
      </w:r>
      <w:bookmarkEnd w:id="13"/>
      <w:bookmarkEnd w:id="14"/>
      <w:bookmarkEnd w:id="16"/>
    </w:p>
    <w:p>
      <w:pPr>
        <w:pStyle w:val="Style6"/>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 xml:space="preserve">Zhotovitel se zavazuje, že na svůj náklad pro objednatele vypracuje a zajistí v rozsahu a za podmínek ujednaných v této smlouvě a objednateli odevzdá vypořádání připomínek, které vzešli z procesu posuzování vlivů na životní prostředí EIA pro akci „Suchá nádrž Dubnice – </w:t>
      </w:r>
      <w:r>
        <w:rPr>
          <w:color w:val="000000"/>
          <w:spacing w:val="0"/>
          <w:w w:val="100"/>
          <w:position w:val="0"/>
          <w:shd w:val="clear" w:color="auto" w:fill="auto"/>
          <w:lang w:val="cs-CZ" w:eastAsia="cs-CZ" w:bidi="cs-CZ"/>
        </w:rPr>
        <w:t>Ještědský potok“. Jedná se o připomínky uvedené ve vyjádřeních k doplněné Dokumentaci EIA, které jsou součástí vrácení doplněné Dokumentace EIA k dalšímu dopracování zaslaného Krajským úřadem Libereckého kraje ze dne 16. 1. 2023. Konkrétně se jedná o připomínky uvedené v tabulkové příloze č.2.</w:t>
      </w:r>
    </w:p>
    <w:p>
      <w:pPr>
        <w:pStyle w:val="Style15"/>
        <w:keepNext/>
        <w:keepLines/>
        <w:widowControl w:val="0"/>
        <w:numPr>
          <w:ilvl w:val="0"/>
          <w:numId w:val="1"/>
        </w:numPr>
        <w:shd w:val="clear" w:color="auto" w:fill="auto"/>
        <w:tabs>
          <w:tab w:pos="666" w:val="left"/>
        </w:tabs>
        <w:bidi w:val="0"/>
        <w:spacing w:before="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DÍLO A ZPŮSOB PROVEDENÍ DÍLA</w:t>
      </w:r>
      <w:bookmarkEnd w:id="17"/>
      <w:bookmarkEnd w:id="18"/>
      <w:bookmarkEnd w:id="20"/>
    </w:p>
    <w:p>
      <w:pPr>
        <w:pStyle w:val="Style6"/>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Zhotovitel se zavazuje odevzdat elaborát k vypořádání připomínek, které vzešli z procesu posuzování vlivů na životní prostředí EIA pro akci „Suchá nádrž Dubnice – Ještědský potok“. Jedná se o připomínky uvedené ve vyjádřeních k doplněné Dokumentaci EIA, které jsou součástí vrácení doplněné Dokumentace EIA k dalšímu dopracování zaslaného Krajským úřadem Libereckého kraje ze dne 16. 1. 2023. Konkrétně se jedná o připomínky uvedené v tabulkové příloze této nabídky. Pro vypořádání připomínek se předpokládá úzká spolupráce a součinnost s objednatelem a zpracovatelem Dokumentace EIA.</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Elaborát bude předán 1x elektronicky, a to ve formátu (_.pdf), a v editovatelných formátech pro potřeby objednatele (_.doc, _.docx, _.xls, _.xlsx, _.dwg a dalších), výkresy budou v souřadnicovém systému S-JTSK.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Dílo bude označeno otiskem autorizačního razítka a vlastnoručním podpisem autorizované osoby v příslušném oboru či specializaci.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vyžádání objednatele zhotovitel dodá další vyhotovení dokumentace EIA v požadovaném počtu za zvláštní úhradu.</w:t>
      </w:r>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se zavazuje řádně provedené dílo podle ustanovení této smlouvy převzít a zaplatit za dílo dohodnutou cenu.</w:t>
      </w:r>
    </w:p>
    <w:p>
      <w:pPr>
        <w:pStyle w:val="Style15"/>
        <w:keepNext/>
        <w:keepLines/>
        <w:widowControl w:val="0"/>
        <w:numPr>
          <w:ilvl w:val="0"/>
          <w:numId w:val="1"/>
        </w:numPr>
        <w:shd w:val="clear" w:color="auto" w:fill="auto"/>
        <w:tabs>
          <w:tab w:pos="666" w:val="left"/>
        </w:tabs>
        <w:bidi w:val="0"/>
        <w:spacing w:before="0" w:line="240" w:lineRule="auto"/>
        <w:ind w:left="0" w:right="0" w:firstLine="0"/>
        <w:jc w:val="center"/>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TERMÍNY PLNĚNÍ</w:t>
      </w:r>
      <w:bookmarkEnd w:id="21"/>
      <w:bookmarkEnd w:id="22"/>
      <w:bookmarkEnd w:id="24"/>
    </w:p>
    <w:p>
      <w:pPr>
        <w:pStyle w:val="Style11"/>
        <w:keepNext/>
        <w:keepLines/>
        <w:widowControl w:val="0"/>
        <w:numPr>
          <w:ilvl w:val="0"/>
          <w:numId w:val="3"/>
        </w:numPr>
        <w:shd w:val="clear" w:color="auto" w:fill="auto"/>
        <w:tabs>
          <w:tab w:pos="382" w:val="left"/>
        </w:tabs>
        <w:bidi w:val="0"/>
        <w:spacing w:before="0" w:after="200" w:line="240" w:lineRule="auto"/>
        <w:ind w:left="0" w:right="0" w:firstLine="0"/>
        <w:jc w:val="left"/>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Smluvní strany se dohodly na následujících lhůtách a podmínkách pro realizaci díla.</w:t>
      </w:r>
      <w:bookmarkEnd w:id="25"/>
      <w:bookmarkEnd w:id="26"/>
      <w:bookmarkEnd w:id="28"/>
    </w:p>
    <w:p>
      <w:pPr>
        <w:pStyle w:val="Style15"/>
        <w:keepNext/>
        <w:keepLines/>
        <w:widowControl w:val="0"/>
        <w:shd w:val="clear" w:color="auto" w:fill="auto"/>
        <w:bidi w:val="0"/>
        <w:spacing w:before="0" w:line="240" w:lineRule="auto"/>
        <w:ind w:left="0" w:right="0" w:firstLine="300"/>
        <w:jc w:val="both"/>
      </w:pPr>
      <w:bookmarkStart w:id="29" w:name="bookmark29"/>
      <w:bookmarkStart w:id="30" w:name="bookmark30"/>
      <w:bookmarkStart w:id="31" w:name="bookmark31"/>
      <w:r>
        <w:rPr>
          <w:b w:val="0"/>
          <w:bCs w:val="0"/>
          <w:color w:val="000000"/>
          <w:spacing w:val="0"/>
          <w:w w:val="100"/>
          <w:position w:val="0"/>
          <w:shd w:val="clear" w:color="auto" w:fill="auto"/>
          <w:lang w:val="cs-CZ" w:eastAsia="cs-CZ" w:bidi="cs-CZ"/>
        </w:rPr>
        <w:t>Zhotovitel se zavazuje provést dílo v následujících termínech:</w:t>
      </w:r>
      <w:bookmarkEnd w:id="29"/>
      <w:bookmarkEnd w:id="30"/>
      <w:bookmarkEnd w:id="31"/>
    </w:p>
    <w:p>
      <w:pPr>
        <w:pStyle w:val="Style6"/>
        <w:keepNext w:val="0"/>
        <w:keepLines w:val="0"/>
        <w:widowControl w:val="0"/>
        <w:numPr>
          <w:ilvl w:val="0"/>
          <w:numId w:val="5"/>
        </w:numPr>
        <w:shd w:val="clear" w:color="auto" w:fill="auto"/>
        <w:tabs>
          <w:tab w:pos="697" w:val="left"/>
        </w:tabs>
        <w:bidi w:val="0"/>
        <w:spacing w:before="0" w:after="0" w:line="240" w:lineRule="auto"/>
        <w:ind w:left="0" w:right="0" w:firstLine="300"/>
        <w:jc w:val="both"/>
      </w:pPr>
      <w:bookmarkStart w:id="32" w:name="bookmark32"/>
      <w:bookmarkEnd w:id="32"/>
      <w:r>
        <w:rPr>
          <w:color w:val="000000"/>
          <w:spacing w:val="0"/>
          <w:w w:val="100"/>
          <w:position w:val="0"/>
          <w:shd w:val="clear" w:color="auto" w:fill="auto"/>
          <w:lang w:val="cs-CZ" w:eastAsia="cs-CZ" w:bidi="cs-CZ"/>
        </w:rPr>
        <w:t>zahájení prací na předmětu plnění: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bez zbytečného odkladu po nabytí účinnosti smlouvy, </w:t>
      </w:r>
      <w:r>
        <w:rPr>
          <w:b/>
          <w:bCs/>
          <w:color w:val="000000"/>
          <w:spacing w:val="0"/>
          <w:w w:val="100"/>
          <w:position w:val="0"/>
          <w:shd w:val="clear" w:color="auto" w:fill="auto"/>
          <w:lang w:val="cs-CZ" w:eastAsia="cs-CZ" w:bidi="cs-CZ"/>
        </w:rPr>
        <w:t>nejpozději do 15.7.2024</w:t>
      </w:r>
    </w:p>
    <w:p>
      <w:pPr>
        <w:pStyle w:val="Style6"/>
        <w:keepNext w:val="0"/>
        <w:keepLines w:val="0"/>
        <w:widowControl w:val="0"/>
        <w:numPr>
          <w:ilvl w:val="0"/>
          <w:numId w:val="5"/>
        </w:numPr>
        <w:shd w:val="clear" w:color="auto" w:fill="auto"/>
        <w:tabs>
          <w:tab w:pos="697" w:val="left"/>
          <w:tab w:pos="6310" w:val="left"/>
        </w:tabs>
        <w:bidi w:val="0"/>
        <w:spacing w:before="0" w:line="240" w:lineRule="auto"/>
        <w:ind w:left="0" w:right="0" w:firstLine="300"/>
        <w:jc w:val="both"/>
      </w:pPr>
      <w:bookmarkStart w:id="33" w:name="bookmark33"/>
      <w:bookmarkEnd w:id="33"/>
      <w:r>
        <w:rPr>
          <w:color w:val="000000"/>
          <w:spacing w:val="0"/>
          <w:w w:val="100"/>
          <w:position w:val="0"/>
          <w:shd w:val="clear" w:color="auto" w:fill="auto"/>
          <w:lang w:val="cs-CZ" w:eastAsia="cs-CZ" w:bidi="cs-CZ"/>
        </w:rPr>
        <w:t>předání elaborátu ke kontrole:</w:t>
        <w:tab/>
      </w:r>
      <w:r>
        <w:rPr>
          <w:b/>
          <w:bCs/>
          <w:color w:val="000000"/>
          <w:spacing w:val="0"/>
          <w:w w:val="100"/>
          <w:position w:val="0"/>
          <w:shd w:val="clear" w:color="auto" w:fill="auto"/>
          <w:lang w:val="cs-CZ" w:eastAsia="cs-CZ" w:bidi="cs-CZ"/>
        </w:rPr>
        <w:t>nejpozději do 30.11.2024</w:t>
      </w:r>
    </w:p>
    <w:p>
      <w:pPr>
        <w:pStyle w:val="Style6"/>
        <w:keepNext w:val="0"/>
        <w:keepLines w:val="0"/>
        <w:widowControl w:val="0"/>
        <w:numPr>
          <w:ilvl w:val="0"/>
          <w:numId w:val="5"/>
        </w:numPr>
        <w:shd w:val="clear" w:color="auto" w:fill="auto"/>
        <w:tabs>
          <w:tab w:pos="697" w:val="left"/>
          <w:tab w:pos="6310" w:val="left"/>
        </w:tabs>
        <w:bidi w:val="0"/>
        <w:spacing w:before="0" w:line="240" w:lineRule="auto"/>
        <w:ind w:left="0" w:right="0" w:firstLine="300"/>
        <w:jc w:val="both"/>
      </w:pPr>
      <w:bookmarkStart w:id="34" w:name="bookmark34"/>
      <w:bookmarkEnd w:id="34"/>
      <w:r>
        <w:rPr>
          <w:color w:val="000000"/>
          <w:spacing w:val="0"/>
          <w:w w:val="100"/>
          <w:position w:val="0"/>
          <w:shd w:val="clear" w:color="auto" w:fill="auto"/>
          <w:lang w:val="cs-CZ" w:eastAsia="cs-CZ" w:bidi="cs-CZ"/>
        </w:rPr>
        <w:t>předání a převzetí předmětu díla:</w:t>
        <w:tab/>
      </w:r>
      <w:r>
        <w:rPr>
          <w:b/>
          <w:bCs/>
          <w:color w:val="000000"/>
          <w:spacing w:val="0"/>
          <w:w w:val="100"/>
          <w:position w:val="0"/>
          <w:shd w:val="clear" w:color="auto" w:fill="auto"/>
          <w:lang w:val="cs-CZ" w:eastAsia="cs-CZ" w:bidi="cs-CZ"/>
        </w:rPr>
        <w:t>nejpozději do 31.12.2024.</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 oddělení strategických investic.</w:t>
      </w:r>
      <w:r>
        <w:br w:type="page"/>
      </w:r>
    </w:p>
    <w:p>
      <w:pPr>
        <w:pStyle w:val="Style11"/>
        <w:keepNext/>
        <w:keepLines/>
        <w:widowControl w:val="0"/>
        <w:numPr>
          <w:ilvl w:val="0"/>
          <w:numId w:val="3"/>
        </w:numPr>
        <w:shd w:val="clear" w:color="auto" w:fill="auto"/>
        <w:tabs>
          <w:tab w:pos="465" w:val="left"/>
        </w:tabs>
        <w:bidi w:val="0"/>
        <w:spacing w:before="0" w:after="120" w:line="240" w:lineRule="auto"/>
        <w:ind w:left="440" w:right="0" w:hanging="44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35"/>
      <w:bookmarkEnd w:id="36"/>
      <w:bookmarkEnd w:id="38"/>
    </w:p>
    <w:p>
      <w:pPr>
        <w:pStyle w:val="Style11"/>
        <w:keepNext/>
        <w:keepLines/>
        <w:widowControl w:val="0"/>
        <w:numPr>
          <w:ilvl w:val="0"/>
          <w:numId w:val="3"/>
        </w:numPr>
        <w:shd w:val="clear" w:color="auto" w:fill="auto"/>
        <w:tabs>
          <w:tab w:pos="465" w:val="left"/>
        </w:tabs>
        <w:bidi w:val="0"/>
        <w:spacing w:before="0" w:after="0" w:line="240" w:lineRule="auto"/>
        <w:ind w:left="0" w:right="0" w:firstLine="0"/>
        <w:jc w:val="left"/>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Dohoda smluvních stran o prodloužení termínu dokončení díla musí mít formu písemného</w:t>
      </w:r>
      <w:bookmarkEnd w:id="39"/>
      <w:bookmarkEnd w:id="40"/>
      <w:bookmarkEnd w:id="42"/>
    </w:p>
    <w:p>
      <w:pPr>
        <w:pStyle w:val="Style6"/>
        <w:keepNext w:val="0"/>
        <w:keepLines w:val="0"/>
        <w:widowControl w:val="0"/>
        <w:shd w:val="clear" w:color="auto" w:fill="auto"/>
        <w:bidi w:val="0"/>
        <w:spacing w:before="0" w:after="120" w:line="240" w:lineRule="auto"/>
        <w:ind w:left="0" w:right="0" w:firstLine="600"/>
        <w:jc w:val="both"/>
      </w:pPr>
      <w:bookmarkStart w:id="43" w:name="bookmark43"/>
      <w:r>
        <w:rPr>
          <w:color w:val="000000"/>
          <w:spacing w:val="0"/>
          <w:w w:val="100"/>
          <w:position w:val="0"/>
          <w:shd w:val="clear" w:color="auto" w:fill="auto"/>
          <w:lang w:val="cs-CZ" w:eastAsia="cs-CZ" w:bidi="cs-CZ"/>
        </w:rPr>
        <w:t>dodatku k této smlouvě.</w:t>
      </w:r>
      <w:bookmarkEnd w:id="43"/>
    </w:p>
    <w:p>
      <w:pPr>
        <w:pStyle w:val="Style11"/>
        <w:keepNext/>
        <w:keepLines/>
        <w:widowControl w:val="0"/>
        <w:numPr>
          <w:ilvl w:val="0"/>
          <w:numId w:val="3"/>
        </w:numPr>
        <w:shd w:val="clear" w:color="auto" w:fill="auto"/>
        <w:tabs>
          <w:tab w:pos="465" w:val="left"/>
        </w:tabs>
        <w:bidi w:val="0"/>
        <w:spacing w:before="0" w:after="0" w:line="240" w:lineRule="auto"/>
        <w:ind w:left="0" w:right="0" w:firstLine="0"/>
        <w:jc w:val="left"/>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Dílo bude dokončeno zhotovitelem a předáno objednateli písemně na základě zápisu o předání</w:t>
      </w:r>
      <w:bookmarkEnd w:id="44"/>
      <w:bookmarkEnd w:id="45"/>
      <w:bookmarkEnd w:id="47"/>
    </w:p>
    <w:p>
      <w:pPr>
        <w:pStyle w:val="Style6"/>
        <w:keepNext w:val="0"/>
        <w:keepLines w:val="0"/>
        <w:widowControl w:val="0"/>
        <w:shd w:val="clear" w:color="auto" w:fill="auto"/>
        <w:bidi w:val="0"/>
        <w:spacing w:before="0" w:after="120" w:line="240" w:lineRule="auto"/>
        <w:ind w:left="0" w:right="0" w:firstLine="600"/>
        <w:jc w:val="both"/>
      </w:pPr>
      <w:bookmarkStart w:id="48" w:name="bookmark48"/>
      <w:r>
        <w:rPr>
          <w:color w:val="000000"/>
          <w:spacing w:val="0"/>
          <w:w w:val="100"/>
          <w:position w:val="0"/>
          <w:shd w:val="clear" w:color="auto" w:fill="auto"/>
          <w:lang w:val="cs-CZ" w:eastAsia="cs-CZ" w:bidi="cs-CZ"/>
        </w:rPr>
        <w:t>a převzetí díla.</w:t>
      </w:r>
      <w:bookmarkEnd w:id="48"/>
    </w:p>
    <w:p>
      <w:pPr>
        <w:pStyle w:val="Style15"/>
        <w:keepNext/>
        <w:keepLines/>
        <w:widowControl w:val="0"/>
        <w:numPr>
          <w:ilvl w:val="0"/>
          <w:numId w:val="1"/>
        </w:numPr>
        <w:shd w:val="clear" w:color="auto" w:fill="auto"/>
        <w:tabs>
          <w:tab w:pos="465" w:val="left"/>
        </w:tabs>
        <w:bidi w:val="0"/>
        <w:spacing w:before="0" w:line="240" w:lineRule="auto"/>
        <w:ind w:left="0" w:right="0" w:firstLine="0"/>
        <w:jc w:val="center"/>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CENA</w:t>
      </w:r>
      <w:bookmarkEnd w:id="49"/>
      <w:bookmarkEnd w:id="50"/>
      <w:bookmarkEnd w:id="52"/>
    </w:p>
    <w:p>
      <w:pPr>
        <w:pStyle w:val="Style6"/>
        <w:keepNext w:val="0"/>
        <w:keepLines w:val="0"/>
        <w:widowControl w:val="0"/>
        <w:shd w:val="clear" w:color="auto" w:fill="auto"/>
        <w:bidi w:val="0"/>
        <w:spacing w:before="0" w:after="440" w:line="240" w:lineRule="auto"/>
        <w:ind w:left="0" w:right="0" w:firstLine="0"/>
        <w:jc w:val="both"/>
      </w:pPr>
      <w:r>
        <mc:AlternateContent>
          <mc:Choice Requires="wps">
            <w:drawing>
              <wp:anchor distT="0" distB="0" distL="114300" distR="114300" simplePos="0" relativeHeight="125829384" behindDoc="0" locked="0" layoutInCell="1" allowOverlap="1">
                <wp:simplePos x="0" y="0"/>
                <wp:positionH relativeFrom="page">
                  <wp:posOffset>4834255</wp:posOffset>
                </wp:positionH>
                <wp:positionV relativeFrom="paragraph">
                  <wp:posOffset>622300</wp:posOffset>
                </wp:positionV>
                <wp:extent cx="1362710" cy="234950"/>
                <wp:wrapSquare wrapText="left"/>
                <wp:docPr id="11" name="Shape 11"/>
                <a:graphic xmlns:a="http://schemas.openxmlformats.org/drawingml/2006/main">
                  <a:graphicData uri="http://schemas.microsoft.com/office/word/2010/wordprocessingShape">
                    <wps:wsp>
                      <wps:cNvSpPr txBox="1"/>
                      <wps:spPr>
                        <a:xfrm>
                          <a:ext cx="1362710" cy="234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238 000 Kč bez DPH</w:t>
                            </w:r>
                          </w:p>
                        </w:txbxContent>
                      </wps:txbx>
                      <wps:bodyPr wrap="none" lIns="0" tIns="0" rIns="0" bIns="0">
                        <a:noAutoFit/>
                      </wps:bodyPr>
                    </wps:wsp>
                  </a:graphicData>
                </a:graphic>
              </wp:anchor>
            </w:drawing>
          </mc:Choice>
          <mc:Fallback>
            <w:pict>
              <v:shape id="_x0000_s1037" type="#_x0000_t202" style="position:absolute;margin-left:380.65000000000003pt;margin-top:49.pt;width:107.3pt;height:18.5pt;z-index:-12582936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238 000 Kč bez DPH</w:t>
                      </w:r>
                    </w:p>
                  </w:txbxContent>
                </v:textbox>
                <w10:wrap type="square" side="left" anchorx="page"/>
              </v:shape>
            </w:pict>
          </mc:Fallback>
        </mc:AlternateContent>
      </w:r>
      <w:r>
        <w:rPr>
          <w:color w:val="000000"/>
          <w:spacing w:val="0"/>
          <w:w w:val="100"/>
          <w:position w:val="0"/>
          <w:shd w:val="clear" w:color="auto" w:fill="auto"/>
          <w:lang w:val="cs-CZ" w:eastAsia="cs-CZ" w:bidi="cs-CZ"/>
        </w:rPr>
        <w:t>Celková cena díla v rozsahu č. Il. této smlouvy, která zahrnuje veškeré náklady zhotovitele související s realizací díla, je stanovena součtem cen za jednotlivé dílčí plnění:</w:t>
      </w:r>
    </w:p>
    <w:p>
      <w:pPr>
        <w:pStyle w:val="Style6"/>
        <w:keepNext w:val="0"/>
        <w:keepLines w:val="0"/>
        <w:widowControl w:val="0"/>
        <w:shd w:val="clear" w:color="auto" w:fill="auto"/>
        <w:bidi w:val="0"/>
        <w:spacing w:before="0" w:after="0" w:line="480" w:lineRule="auto"/>
        <w:ind w:left="0" w:right="0" w:firstLine="0"/>
        <w:jc w:val="both"/>
      </w:pPr>
      <w:r>
        <w:rPr>
          <w:b/>
          <w:bCs/>
          <w:color w:val="000000"/>
          <w:spacing w:val="0"/>
          <w:w w:val="100"/>
          <w:position w:val="0"/>
          <w:shd w:val="clear" w:color="auto" w:fill="auto"/>
          <w:lang w:val="cs-CZ" w:eastAsia="cs-CZ" w:bidi="cs-CZ"/>
        </w:rPr>
        <w:t xml:space="preserve">Celková smluvní cena za celý předmět díla: </w:t>
      </w:r>
      <w:r>
        <w:rPr>
          <w:color w:val="000000"/>
          <w:spacing w:val="0"/>
          <w:w w:val="100"/>
          <w:position w:val="0"/>
          <w:shd w:val="clear" w:color="auto" w:fill="auto"/>
          <w:lang w:val="cs-CZ" w:eastAsia="cs-CZ" w:bidi="cs-CZ"/>
        </w:rPr>
        <w:t>(slovy: dvěstětřicetosmtisíckorunčeských).</w:t>
      </w:r>
    </w:p>
    <w:p>
      <w:pPr>
        <w:pStyle w:val="Style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5"/>
        <w:keepNext/>
        <w:keepLines/>
        <w:widowControl w:val="0"/>
        <w:numPr>
          <w:ilvl w:val="0"/>
          <w:numId w:val="1"/>
        </w:numPr>
        <w:shd w:val="clear" w:color="auto" w:fill="auto"/>
        <w:tabs>
          <w:tab w:pos="465"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PLATEBNÍ PODMÍNKY</w:t>
      </w:r>
      <w:bookmarkEnd w:id="53"/>
      <w:bookmarkEnd w:id="54"/>
      <w:bookmarkEnd w:id="56"/>
    </w:p>
    <w:p>
      <w:pPr>
        <w:pStyle w:val="Style6"/>
        <w:keepNext w:val="0"/>
        <w:keepLines w:val="0"/>
        <w:widowControl w:val="0"/>
        <w:numPr>
          <w:ilvl w:val="0"/>
          <w:numId w:val="7"/>
        </w:numPr>
        <w:shd w:val="clear" w:color="auto" w:fill="auto"/>
        <w:tabs>
          <w:tab w:pos="465" w:val="left"/>
        </w:tabs>
        <w:bidi w:val="0"/>
        <w:spacing w:before="0" w:line="240" w:lineRule="auto"/>
        <w:ind w:left="0" w:right="0" w:firstLine="0"/>
        <w:jc w:val="left"/>
      </w:pPr>
      <w:bookmarkStart w:id="57" w:name="bookmark57"/>
      <w:bookmarkEnd w:id="57"/>
      <w:r>
        <w:rPr>
          <w:color w:val="000000"/>
          <w:spacing w:val="0"/>
          <w:w w:val="100"/>
          <w:position w:val="0"/>
          <w:shd w:val="clear" w:color="auto" w:fill="auto"/>
          <w:lang w:val="cs-CZ" w:eastAsia="cs-CZ" w:bidi="cs-CZ"/>
        </w:rPr>
        <w:t>Objednatel nebude poskytovat zhotoviteli zálohy.</w:t>
      </w:r>
    </w:p>
    <w:p>
      <w:pPr>
        <w:pStyle w:val="Style6"/>
        <w:keepNext w:val="0"/>
        <w:keepLines w:val="0"/>
        <w:widowControl w:val="0"/>
        <w:numPr>
          <w:ilvl w:val="0"/>
          <w:numId w:val="7"/>
        </w:numPr>
        <w:shd w:val="clear" w:color="auto" w:fill="auto"/>
        <w:tabs>
          <w:tab w:pos="465" w:val="left"/>
        </w:tabs>
        <w:bidi w:val="0"/>
        <w:spacing w:before="0" w:after="44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Cena díla bude hrazena na základě faktury, která bude vystavena po dokončení, předání a převzetí díla bez vad. Fakturu je zhotovitel povinen prokazatelně doručit objednateli nejpozději do 10 kalendářních dnů ode dne uskutečnění plnění. V případě pozdějšího doručení faktury objednavateli nebude tato objednavatelem přijata a zhotovitel zajistí vystavení nové faktury k datu dalšího dílčího plnění.</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Faktura bude povinně obsahovat příslušné číslo akce, tj. </w:t>
      </w:r>
      <w:r>
        <w:rPr>
          <w:b/>
          <w:bCs/>
          <w:color w:val="000000"/>
          <w:spacing w:val="0"/>
          <w:w w:val="100"/>
          <w:position w:val="0"/>
          <w:shd w:val="clear" w:color="auto" w:fill="auto"/>
          <w:lang w:val="cs-CZ" w:eastAsia="cs-CZ" w:bidi="cs-CZ"/>
        </w:rPr>
        <w:t>502 321</w:t>
      </w:r>
      <w:r>
        <w:rPr>
          <w:color w:val="000000"/>
          <w:spacing w:val="0"/>
          <w:w w:val="100"/>
          <w:position w:val="0"/>
          <w:shd w:val="clear" w:color="auto" w:fill="auto"/>
          <w:lang w:val="cs-CZ" w:eastAsia="cs-CZ" w:bidi="cs-CZ"/>
        </w:rPr>
        <w:t>.</w:t>
      </w:r>
    </w:p>
    <w:p>
      <w:pPr>
        <w:pStyle w:val="Style6"/>
        <w:keepNext w:val="0"/>
        <w:keepLines w:val="0"/>
        <w:widowControl w:val="0"/>
        <w:numPr>
          <w:ilvl w:val="0"/>
          <w:numId w:val="7"/>
        </w:numPr>
        <w:shd w:val="clear" w:color="auto" w:fill="auto"/>
        <w:tabs>
          <w:tab w:pos="465"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6"/>
        <w:keepNext w:val="0"/>
        <w:keepLines w:val="0"/>
        <w:widowControl w:val="0"/>
        <w:shd w:val="clear" w:color="auto" w:fill="auto"/>
        <w:bidi w:val="0"/>
        <w:spacing w:before="0" w:line="240" w:lineRule="auto"/>
        <w:ind w:left="440" w:right="0" w:firstLine="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6"/>
        <w:keepNext w:val="0"/>
        <w:keepLines w:val="0"/>
        <w:widowControl w:val="0"/>
        <w:numPr>
          <w:ilvl w:val="0"/>
          <w:numId w:val="7"/>
        </w:numPr>
        <w:shd w:val="clear" w:color="auto" w:fill="auto"/>
        <w:tabs>
          <w:tab w:pos="465"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6"/>
        <w:keepNext w:val="0"/>
        <w:keepLines w:val="0"/>
        <w:widowControl w:val="0"/>
        <w:numPr>
          <w:ilvl w:val="0"/>
          <w:numId w:val="7"/>
        </w:numPr>
        <w:shd w:val="clear" w:color="auto" w:fill="auto"/>
        <w:tabs>
          <w:tab w:pos="427"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Splatnost faktury je 30 kalendářních dnů od data doručení faktury objednateli.</w:t>
      </w:r>
    </w:p>
    <w:p>
      <w:pPr>
        <w:pStyle w:val="Style6"/>
        <w:keepNext w:val="0"/>
        <w:keepLines w:val="0"/>
        <w:widowControl w:val="0"/>
        <w:numPr>
          <w:ilvl w:val="0"/>
          <w:numId w:val="7"/>
        </w:numPr>
        <w:shd w:val="clear" w:color="auto" w:fill="auto"/>
        <w:tabs>
          <w:tab w:pos="427" w:val="left"/>
        </w:tabs>
        <w:bidi w:val="0"/>
        <w:spacing w:before="0" w:after="44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5"/>
        <w:keepNext/>
        <w:keepLines/>
        <w:widowControl w:val="0"/>
        <w:numPr>
          <w:ilvl w:val="0"/>
          <w:numId w:val="1"/>
        </w:numPr>
        <w:shd w:val="clear" w:color="auto" w:fill="auto"/>
        <w:tabs>
          <w:tab w:pos="662" w:val="left"/>
        </w:tabs>
        <w:bidi w:val="0"/>
        <w:spacing w:before="0" w:line="240" w:lineRule="auto"/>
        <w:ind w:left="0" w:right="0" w:firstLine="0"/>
        <w:jc w:val="center"/>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SANKCE</w:t>
      </w:r>
      <w:bookmarkEnd w:id="63"/>
      <w:bookmarkEnd w:id="64"/>
      <w:bookmarkEnd w:id="66"/>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7" w:name="bookmark67"/>
      <w:bookmarkEnd w:id="67"/>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69" w:name="bookmark69"/>
      <w:bookmarkEnd w:id="69"/>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70" w:name="bookmark70"/>
      <w:bookmarkEnd w:id="7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71" w:name="bookmark71"/>
      <w:bookmarkEnd w:id="7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9"/>
        </w:numPr>
        <w:shd w:val="clear" w:color="auto" w:fill="auto"/>
        <w:tabs>
          <w:tab w:pos="427" w:val="left"/>
        </w:tabs>
        <w:bidi w:val="0"/>
        <w:spacing w:before="0" w:line="240" w:lineRule="auto"/>
        <w:ind w:left="440" w:right="0" w:hanging="440"/>
        <w:jc w:val="both"/>
      </w:pPr>
      <w:bookmarkStart w:id="72" w:name="bookmark72"/>
      <w:bookmarkEnd w:id="7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9"/>
        </w:numPr>
        <w:shd w:val="clear" w:color="auto" w:fill="auto"/>
        <w:tabs>
          <w:tab w:pos="427" w:val="left"/>
        </w:tabs>
        <w:bidi w:val="0"/>
        <w:spacing w:before="0" w:after="440" w:line="240" w:lineRule="auto"/>
        <w:ind w:left="440" w:right="0" w:hanging="440"/>
        <w:jc w:val="both"/>
      </w:pPr>
      <w:bookmarkStart w:id="73" w:name="bookmark73"/>
      <w:bookmarkEnd w:id="73"/>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5"/>
        <w:keepNext/>
        <w:keepLines/>
        <w:widowControl w:val="0"/>
        <w:numPr>
          <w:ilvl w:val="0"/>
          <w:numId w:val="1"/>
        </w:numPr>
        <w:shd w:val="clear" w:color="auto" w:fill="auto"/>
        <w:tabs>
          <w:tab w:pos="662" w:val="left"/>
        </w:tabs>
        <w:bidi w:val="0"/>
        <w:spacing w:before="0" w:line="240" w:lineRule="auto"/>
        <w:ind w:left="0" w:right="0" w:firstLine="0"/>
        <w:jc w:val="center"/>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ZAJIŠTĚNÍ ZÁVAZKU</w:t>
      </w:r>
      <w:bookmarkEnd w:id="74"/>
      <w:bookmarkEnd w:id="75"/>
      <w:bookmarkEnd w:id="77"/>
    </w:p>
    <w:p>
      <w:pPr>
        <w:pStyle w:val="Style6"/>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6"/>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79" w:name="bookmark79"/>
      <w:bookmarkEnd w:id="79"/>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6"/>
        <w:keepNext w:val="0"/>
        <w:keepLines w:val="0"/>
        <w:widowControl w:val="0"/>
        <w:numPr>
          <w:ilvl w:val="0"/>
          <w:numId w:val="11"/>
        </w:numPr>
        <w:shd w:val="clear" w:color="auto" w:fill="auto"/>
        <w:tabs>
          <w:tab w:pos="427" w:val="left"/>
        </w:tabs>
        <w:bidi w:val="0"/>
        <w:spacing w:before="0" w:line="240" w:lineRule="auto"/>
        <w:ind w:left="440" w:right="0" w:hanging="440"/>
        <w:jc w:val="both"/>
      </w:pPr>
      <w:bookmarkStart w:id="80" w:name="bookmark80"/>
      <w:bookmarkEnd w:id="80"/>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6"/>
        <w:keepNext w:val="0"/>
        <w:keepLines w:val="0"/>
        <w:widowControl w:val="0"/>
        <w:numPr>
          <w:ilvl w:val="0"/>
          <w:numId w:val="11"/>
        </w:numPr>
        <w:shd w:val="clear" w:color="auto" w:fill="auto"/>
        <w:tabs>
          <w:tab w:pos="443" w:val="left"/>
        </w:tabs>
        <w:bidi w:val="0"/>
        <w:spacing w:before="0" w:line="240" w:lineRule="auto"/>
        <w:ind w:left="440" w:right="0" w:hanging="440"/>
        <w:jc w:val="both"/>
      </w:pPr>
      <w:bookmarkStart w:id="81" w:name="bookmark81"/>
      <w:bookmarkEnd w:id="81"/>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6"/>
        <w:keepNext w:val="0"/>
        <w:keepLines w:val="0"/>
        <w:widowControl w:val="0"/>
        <w:numPr>
          <w:ilvl w:val="0"/>
          <w:numId w:val="11"/>
        </w:numPr>
        <w:shd w:val="clear" w:color="auto" w:fill="auto"/>
        <w:tabs>
          <w:tab w:pos="443" w:val="left"/>
        </w:tabs>
        <w:bidi w:val="0"/>
        <w:spacing w:before="0" w:after="0" w:line="240" w:lineRule="auto"/>
        <w:ind w:left="0" w:right="0" w:firstLine="0"/>
        <w:jc w:val="left"/>
      </w:pPr>
      <w:bookmarkStart w:id="82" w:name="bookmark82"/>
      <w:bookmarkEnd w:id="82"/>
      <w:r>
        <w:rPr>
          <w:color w:val="000000"/>
          <w:spacing w:val="0"/>
          <w:w w:val="100"/>
          <w:position w:val="0"/>
          <w:shd w:val="clear" w:color="auto" w:fill="auto"/>
          <w:lang w:val="cs-CZ" w:eastAsia="cs-CZ" w:bidi="cs-CZ"/>
        </w:rPr>
        <w:t>Zhotovitel zodpovídá za vady díla následovně:</w:t>
      </w:r>
    </w:p>
    <w:p>
      <w:pPr>
        <w:pStyle w:val="Style6"/>
        <w:keepNext w:val="0"/>
        <w:keepLines w:val="0"/>
        <w:widowControl w:val="0"/>
        <w:numPr>
          <w:ilvl w:val="0"/>
          <w:numId w:val="13"/>
        </w:numPr>
        <w:shd w:val="clear" w:color="auto" w:fill="auto"/>
        <w:tabs>
          <w:tab w:pos="804" w:val="left"/>
        </w:tabs>
        <w:bidi w:val="0"/>
        <w:spacing w:before="0" w:after="0" w:line="240" w:lineRule="auto"/>
        <w:ind w:left="800" w:right="0" w:hanging="360"/>
        <w:jc w:val="both"/>
      </w:pPr>
      <w:bookmarkStart w:id="83" w:name="bookmark83"/>
      <w:bookmarkEnd w:id="83"/>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6"/>
        <w:keepNext w:val="0"/>
        <w:keepLines w:val="0"/>
        <w:widowControl w:val="0"/>
        <w:numPr>
          <w:ilvl w:val="0"/>
          <w:numId w:val="13"/>
        </w:numPr>
        <w:shd w:val="clear" w:color="auto" w:fill="auto"/>
        <w:tabs>
          <w:tab w:pos="804" w:val="left"/>
        </w:tabs>
        <w:bidi w:val="0"/>
        <w:spacing w:before="0" w:line="240" w:lineRule="auto"/>
        <w:ind w:left="800" w:right="0" w:hanging="360"/>
        <w:jc w:val="both"/>
      </w:pPr>
      <w:bookmarkStart w:id="84" w:name="bookmark84"/>
      <w:bookmarkEnd w:id="84"/>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6"/>
        <w:keepNext w:val="0"/>
        <w:keepLines w:val="0"/>
        <w:widowControl w:val="0"/>
        <w:numPr>
          <w:ilvl w:val="0"/>
          <w:numId w:val="11"/>
        </w:numPr>
        <w:shd w:val="clear" w:color="auto" w:fill="auto"/>
        <w:tabs>
          <w:tab w:pos="443" w:val="left"/>
        </w:tabs>
        <w:bidi w:val="0"/>
        <w:spacing w:before="0" w:line="240" w:lineRule="auto"/>
        <w:ind w:left="440" w:right="0" w:hanging="440"/>
        <w:jc w:val="both"/>
      </w:pPr>
      <w:bookmarkStart w:id="85" w:name="bookmark85"/>
      <w:bookmarkEnd w:id="85"/>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6"/>
        <w:keepNext w:val="0"/>
        <w:keepLines w:val="0"/>
        <w:widowControl w:val="0"/>
        <w:numPr>
          <w:ilvl w:val="0"/>
          <w:numId w:val="11"/>
        </w:numPr>
        <w:shd w:val="clear" w:color="auto" w:fill="auto"/>
        <w:tabs>
          <w:tab w:pos="443" w:val="left"/>
        </w:tabs>
        <w:bidi w:val="0"/>
        <w:spacing w:before="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6"/>
        <w:keepNext w:val="0"/>
        <w:keepLines w:val="0"/>
        <w:widowControl w:val="0"/>
        <w:numPr>
          <w:ilvl w:val="0"/>
          <w:numId w:val="11"/>
        </w:numPr>
        <w:shd w:val="clear" w:color="auto" w:fill="auto"/>
        <w:tabs>
          <w:tab w:pos="443" w:val="left"/>
        </w:tabs>
        <w:bidi w:val="0"/>
        <w:spacing w:before="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6"/>
        <w:keepNext w:val="0"/>
        <w:keepLines w:val="0"/>
        <w:widowControl w:val="0"/>
        <w:numPr>
          <w:ilvl w:val="0"/>
          <w:numId w:val="11"/>
        </w:numPr>
        <w:shd w:val="clear" w:color="auto" w:fill="auto"/>
        <w:tabs>
          <w:tab w:pos="443" w:val="left"/>
        </w:tabs>
        <w:bidi w:val="0"/>
        <w:spacing w:before="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6"/>
        <w:keepNext w:val="0"/>
        <w:keepLines w:val="0"/>
        <w:widowControl w:val="0"/>
        <w:numPr>
          <w:ilvl w:val="0"/>
          <w:numId w:val="11"/>
        </w:numPr>
        <w:shd w:val="clear" w:color="auto" w:fill="auto"/>
        <w:tabs>
          <w:tab w:pos="489" w:val="left"/>
        </w:tabs>
        <w:bidi w:val="0"/>
        <w:spacing w:before="0" w:after="44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5"/>
        <w:keepNext/>
        <w:keepLines/>
        <w:widowControl w:val="0"/>
        <w:numPr>
          <w:ilvl w:val="0"/>
          <w:numId w:val="1"/>
        </w:numPr>
        <w:shd w:val="clear" w:color="auto" w:fill="auto"/>
        <w:tabs>
          <w:tab w:pos="746" w:val="left"/>
        </w:tabs>
        <w:bidi w:val="0"/>
        <w:spacing w:before="0" w:line="240" w:lineRule="auto"/>
        <w:ind w:left="0" w:right="0" w:firstLine="0"/>
        <w:jc w:val="center"/>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LICENČNÍ PODMÍNKY</w:t>
      </w:r>
      <w:bookmarkEnd w:id="90"/>
      <w:bookmarkEnd w:id="91"/>
      <w:bookmarkEnd w:id="93"/>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5"/>
        <w:keepNext/>
        <w:keepLines/>
        <w:widowControl w:val="0"/>
        <w:numPr>
          <w:ilvl w:val="0"/>
          <w:numId w:val="1"/>
        </w:numPr>
        <w:shd w:val="clear" w:color="auto" w:fill="auto"/>
        <w:tabs>
          <w:tab w:pos="746" w:val="left"/>
        </w:tabs>
        <w:bidi w:val="0"/>
        <w:spacing w:before="0" w:line="240" w:lineRule="auto"/>
        <w:ind w:left="0" w:right="0" w:firstLine="0"/>
        <w:jc w:val="center"/>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NÁHRADA ŠKODY</w:t>
      </w:r>
      <w:bookmarkEnd w:id="94"/>
      <w:bookmarkEnd w:id="95"/>
      <w:bookmarkEnd w:id="97"/>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5"/>
        <w:keepNext/>
        <w:keepLines/>
        <w:widowControl w:val="0"/>
        <w:numPr>
          <w:ilvl w:val="0"/>
          <w:numId w:val="1"/>
        </w:numPr>
        <w:shd w:val="clear" w:color="auto" w:fill="auto"/>
        <w:tabs>
          <w:tab w:pos="443" w:val="left"/>
        </w:tabs>
        <w:bidi w:val="0"/>
        <w:spacing w:before="0" w:line="240" w:lineRule="auto"/>
        <w:ind w:left="0" w:right="0" w:firstLine="0"/>
        <w:jc w:val="center"/>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OSTATNÍ USTANOVEN Í</w:t>
      </w:r>
      <w:bookmarkEnd w:id="101"/>
      <w:bookmarkEnd w:id="98"/>
      <w:bookmarkEnd w:id="99"/>
    </w:p>
    <w:p>
      <w:pPr>
        <w:pStyle w:val="Style6"/>
        <w:keepNext w:val="0"/>
        <w:keepLines w:val="0"/>
        <w:widowControl w:val="0"/>
        <w:numPr>
          <w:ilvl w:val="0"/>
          <w:numId w:val="15"/>
        </w:numPr>
        <w:shd w:val="clear" w:color="auto" w:fill="auto"/>
        <w:tabs>
          <w:tab w:pos="443" w:val="left"/>
        </w:tabs>
        <w:bidi w:val="0"/>
        <w:spacing w:before="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15"/>
        </w:numPr>
        <w:shd w:val="clear" w:color="auto" w:fill="auto"/>
        <w:tabs>
          <w:tab w:pos="427" w:val="left"/>
        </w:tabs>
        <w:bidi w:val="0"/>
        <w:spacing w:before="0" w:after="32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6"/>
        <w:keepNext w:val="0"/>
        <w:keepLines w:val="0"/>
        <w:widowControl w:val="0"/>
        <w:numPr>
          <w:ilvl w:val="0"/>
          <w:numId w:val="15"/>
        </w:numPr>
        <w:shd w:val="clear" w:color="auto" w:fill="auto"/>
        <w:tabs>
          <w:tab w:pos="427" w:val="left"/>
        </w:tabs>
        <w:bidi w:val="0"/>
        <w:spacing w:before="0" w:after="6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6"/>
        <w:keepNext w:val="0"/>
        <w:keepLines w:val="0"/>
        <w:widowControl w:val="0"/>
        <w:numPr>
          <w:ilvl w:val="0"/>
          <w:numId w:val="15"/>
        </w:numPr>
        <w:shd w:val="clear" w:color="auto" w:fill="auto"/>
        <w:tabs>
          <w:tab w:pos="427" w:val="left"/>
        </w:tabs>
        <w:bidi w:val="0"/>
        <w:spacing w:before="0" w:after="6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6"/>
        <w:keepNext w:val="0"/>
        <w:keepLines w:val="0"/>
        <w:widowControl w:val="0"/>
        <w:numPr>
          <w:ilvl w:val="0"/>
          <w:numId w:val="15"/>
        </w:numPr>
        <w:shd w:val="clear" w:color="auto" w:fill="auto"/>
        <w:tabs>
          <w:tab w:pos="427" w:val="left"/>
        </w:tabs>
        <w:bidi w:val="0"/>
        <w:spacing w:before="0" w:after="6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1"/>
        <w:keepNext/>
        <w:keepLines/>
        <w:widowControl w:val="0"/>
        <w:numPr>
          <w:ilvl w:val="0"/>
          <w:numId w:val="15"/>
        </w:numPr>
        <w:shd w:val="clear" w:color="auto" w:fill="auto"/>
        <w:tabs>
          <w:tab w:pos="427" w:val="left"/>
        </w:tabs>
        <w:bidi w:val="0"/>
        <w:spacing w:before="0" w:after="44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07"/>
      <w:bookmarkEnd w:id="108"/>
      <w:bookmarkEnd w:id="110"/>
    </w:p>
    <w:p>
      <w:pPr>
        <w:pStyle w:val="Style15"/>
        <w:keepNext/>
        <w:keepLines/>
        <w:widowControl w:val="0"/>
        <w:numPr>
          <w:ilvl w:val="0"/>
          <w:numId w:val="1"/>
        </w:numPr>
        <w:shd w:val="clear" w:color="auto" w:fill="auto"/>
        <w:tabs>
          <w:tab w:pos="660" w:val="left"/>
        </w:tabs>
        <w:bidi w:val="0"/>
        <w:spacing w:before="0" w:line="240" w:lineRule="auto"/>
        <w:ind w:left="0" w:right="0" w:firstLine="0"/>
        <w:jc w:val="center"/>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COMPLIANCE DOLOŽKA</w:t>
      </w:r>
      <w:bookmarkEnd w:id="111"/>
      <w:bookmarkEnd w:id="112"/>
      <w:bookmarkEnd w:id="114"/>
    </w:p>
    <w:p>
      <w:pPr>
        <w:pStyle w:val="Style6"/>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17"/>
        </w:numPr>
        <w:shd w:val="clear" w:color="auto" w:fill="auto"/>
        <w:tabs>
          <w:tab w:pos="42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17"/>
        </w:numPr>
        <w:shd w:val="clear" w:color="auto" w:fill="auto"/>
        <w:tabs>
          <w:tab w:pos="427" w:val="left"/>
        </w:tabs>
        <w:bidi w:val="0"/>
        <w:spacing w:before="0" w:after="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507" w:val="left"/>
          <w:tab w:pos="6445" w:val="left"/>
          <w:tab w:pos="9306" w:val="left"/>
        </w:tabs>
        <w:bidi w:val="0"/>
        <w:spacing w:before="0" w:after="0" w:line="240" w:lineRule="auto"/>
        <w:ind w:left="380" w:right="0" w:firstLine="60"/>
        <w:jc w:val="both"/>
      </w:pPr>
      <w:r>
        <w:rPr>
          <w:color w:val="000000"/>
          <w:spacing w:val="0"/>
          <w:w w:val="100"/>
          <w:position w:val="0"/>
          <w:shd w:val="clear" w:color="auto" w:fill="auto"/>
          <w:lang w:val="cs-CZ" w:eastAsia="cs-CZ" w:bidi="cs-CZ"/>
        </w:rPr>
        <w:t>Povodí</w:t>
        <w:tab/>
        <w:t>Ohře,</w:t>
        <w:tab/>
        <w:t>s. p.,</w:t>
        <w:tab/>
        <w:t>(viz</w:t>
      </w:r>
    </w:p>
    <w:p>
      <w:pPr>
        <w:pStyle w:val="Style6"/>
        <w:keepNext w:val="0"/>
        <w:keepLines w:val="0"/>
        <w:widowControl w:val="0"/>
        <w:shd w:val="clear" w:color="auto" w:fill="auto"/>
        <w:bidi w:val="0"/>
        <w:spacing w:before="0" w:line="240" w:lineRule="auto"/>
        <w:ind w:left="380" w:right="0" w:firstLine="6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17"/>
        </w:numPr>
        <w:shd w:val="clear" w:color="auto" w:fill="auto"/>
        <w:tabs>
          <w:tab w:pos="427" w:val="left"/>
        </w:tabs>
        <w:bidi w:val="0"/>
        <w:spacing w:before="0" w:after="44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5"/>
        <w:keepNext/>
        <w:keepLines/>
        <w:widowControl w:val="0"/>
        <w:numPr>
          <w:ilvl w:val="0"/>
          <w:numId w:val="1"/>
        </w:numPr>
        <w:shd w:val="clear" w:color="auto" w:fill="auto"/>
        <w:tabs>
          <w:tab w:pos="660" w:val="left"/>
        </w:tabs>
        <w:bidi w:val="0"/>
        <w:spacing w:before="0" w:line="240" w:lineRule="auto"/>
        <w:ind w:left="0" w:right="0" w:firstLine="0"/>
        <w:jc w:val="center"/>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OCHRANA A ZPRACOVÁNÍ OSOBNÍCH ÚDAJŮ</w:t>
      </w:r>
      <w:bookmarkEnd w:id="119"/>
      <w:bookmarkEnd w:id="120"/>
      <w:bookmarkEnd w:id="122"/>
    </w:p>
    <w:p>
      <w:pPr>
        <w:pStyle w:val="Style6"/>
        <w:keepNext w:val="0"/>
        <w:keepLines w:val="0"/>
        <w:widowControl w:val="0"/>
        <w:shd w:val="clear" w:color="auto" w:fill="auto"/>
        <w:bidi w:val="0"/>
        <w:spacing w:before="0" w:after="440" w:line="240" w:lineRule="auto"/>
        <w:ind w:left="380" w:right="0" w:firstLine="6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000000"/>
          <w:spacing w:val="0"/>
          <w:w w:val="100"/>
          <w:position w:val="0"/>
          <w:shd w:val="clear" w:color="auto" w:fill="auto"/>
          <w:lang w:val="cs-CZ" w:eastAsia="cs-CZ" w:bidi="cs-CZ"/>
        </w:rPr>
        <w:t xml:space="preserve">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5"/>
        <w:keepNext/>
        <w:keepLines/>
        <w:widowControl w:val="0"/>
        <w:numPr>
          <w:ilvl w:val="0"/>
          <w:numId w:val="1"/>
        </w:numPr>
        <w:shd w:val="clear" w:color="auto" w:fill="auto"/>
        <w:tabs>
          <w:tab w:pos="749" w:val="left"/>
        </w:tabs>
        <w:bidi w:val="0"/>
        <w:spacing w:before="0" w:line="240" w:lineRule="auto"/>
        <w:ind w:left="0" w:right="0" w:firstLine="0"/>
        <w:jc w:val="center"/>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ZÁVĚREČNÁ USTANOVENÍ</w:t>
      </w:r>
      <w:bookmarkEnd w:id="123"/>
      <w:bookmarkEnd w:id="124"/>
      <w:bookmarkEnd w:id="126"/>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6"/>
        <w:keepNext w:val="0"/>
        <w:keepLines w:val="0"/>
        <w:widowControl w:val="0"/>
        <w:numPr>
          <w:ilvl w:val="0"/>
          <w:numId w:val="19"/>
        </w:numPr>
        <w:shd w:val="clear" w:color="auto" w:fill="auto"/>
        <w:tabs>
          <w:tab w:pos="427"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6"/>
        <w:keepNext w:val="0"/>
        <w:keepLines w:val="0"/>
        <w:widowControl w:val="0"/>
        <w:numPr>
          <w:ilvl w:val="0"/>
          <w:numId w:val="19"/>
        </w:numPr>
        <w:shd w:val="clear" w:color="auto" w:fill="auto"/>
        <w:tabs>
          <w:tab w:pos="427" w:val="left"/>
        </w:tabs>
        <w:bidi w:val="0"/>
        <w:spacing w:before="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19"/>
        </w:numPr>
        <w:shd w:val="clear" w:color="auto" w:fill="auto"/>
        <w:tabs>
          <w:tab w:pos="464"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6"/>
        <w:keepNext w:val="0"/>
        <w:keepLines w:val="0"/>
        <w:widowControl w:val="0"/>
        <w:numPr>
          <w:ilvl w:val="0"/>
          <w:numId w:val="19"/>
        </w:numPr>
        <w:shd w:val="clear" w:color="auto" w:fill="auto"/>
        <w:tabs>
          <w:tab w:pos="464"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19"/>
        </w:numPr>
        <w:shd w:val="clear" w:color="auto" w:fill="auto"/>
        <w:tabs>
          <w:tab w:pos="464"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w:t>
        <w:br w:type="page"/>
      </w:r>
      <w:r>
        <w:rPr>
          <w:color w:val="000000"/>
          <w:spacing w:val="0"/>
          <w:w w:val="100"/>
          <w:position w:val="0"/>
          <w:shd w:val="clear" w:color="auto" w:fill="auto"/>
          <w:lang w:val="cs-CZ" w:eastAsia="cs-CZ" w:bidi="cs-CZ"/>
        </w:rPr>
        <w:t>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19"/>
        </w:numPr>
        <w:shd w:val="clear" w:color="auto" w:fill="auto"/>
        <w:tabs>
          <w:tab w:pos="507"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6"/>
        <w:keepNext w:val="0"/>
        <w:keepLines w:val="0"/>
        <w:widowControl w:val="0"/>
        <w:numPr>
          <w:ilvl w:val="0"/>
          <w:numId w:val="19"/>
        </w:numPr>
        <w:shd w:val="clear" w:color="auto" w:fill="auto"/>
        <w:tabs>
          <w:tab w:pos="507" w:val="left"/>
        </w:tabs>
        <w:bidi w:val="0"/>
        <w:spacing w:before="0" w:after="0" w:line="240" w:lineRule="auto"/>
        <w:ind w:left="0" w:right="0" w:firstLine="0"/>
        <w:jc w:val="left"/>
      </w:pPr>
      <w:bookmarkStart w:id="140" w:name="bookmark140"/>
      <w:bookmarkEnd w:id="140"/>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shd w:val="clear" w:color="auto" w:fill="auto"/>
        <w:bidi w:val="0"/>
        <w:spacing w:before="0" w:line="240" w:lineRule="auto"/>
        <w:ind w:left="380" w:right="0" w:hanging="80"/>
        <w:jc w:val="both"/>
      </w:pPr>
      <w:r>
        <w:rPr>
          <w:i/>
          <w:iCs/>
          <w:color w:val="FF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6"/>
        <w:keepNext w:val="0"/>
        <w:keepLines w:val="0"/>
        <w:widowControl w:val="0"/>
        <w:numPr>
          <w:ilvl w:val="0"/>
          <w:numId w:val="19"/>
        </w:numPr>
        <w:shd w:val="clear" w:color="auto" w:fill="auto"/>
        <w:tabs>
          <w:tab w:pos="507"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19"/>
        </w:numPr>
        <w:shd w:val="clear" w:color="auto" w:fill="auto"/>
        <w:tabs>
          <w:tab w:pos="507" w:val="left"/>
        </w:tabs>
        <w:bidi w:val="0"/>
        <w:spacing w:before="0" w:after="240" w:line="240" w:lineRule="auto"/>
        <w:ind w:left="0" w:right="0" w:firstLine="0"/>
        <w:jc w:val="both"/>
      </w:pPr>
      <w:bookmarkStart w:id="142" w:name="bookmark142"/>
      <w:bookmarkEnd w:id="142"/>
      <w:r>
        <w:rPr>
          <w:color w:val="000000"/>
          <w:spacing w:val="0"/>
          <w:w w:val="100"/>
          <w:position w:val="0"/>
          <w:shd w:val="clear" w:color="auto" w:fill="auto"/>
          <w:lang w:val="cs-CZ" w:eastAsia="cs-CZ" w:bidi="cs-CZ"/>
        </w:rPr>
        <w:t>Nedílnou součástí smlouvy jsou následující přílohy</w:t>
      </w:r>
    </w:p>
    <w:p>
      <w:pPr>
        <w:pStyle w:val="Style6"/>
        <w:keepNext w:val="0"/>
        <w:keepLines w:val="0"/>
        <w:widowControl w:val="0"/>
        <w:shd w:val="clear" w:color="auto" w:fill="auto"/>
        <w:bidi w:val="0"/>
        <w:spacing w:before="0" w:after="80" w:line="240" w:lineRule="auto"/>
        <w:ind w:left="0" w:right="0" w:firstLine="380"/>
        <w:jc w:val="both"/>
      </w:pPr>
      <w:r>
        <w:rPr>
          <w:color w:val="000000"/>
          <w:spacing w:val="0"/>
          <w:w w:val="100"/>
          <w:position w:val="0"/>
          <w:shd w:val="clear" w:color="auto" w:fill="auto"/>
          <w:lang w:val="cs-CZ" w:eastAsia="cs-CZ" w:bidi="cs-CZ"/>
        </w:rPr>
        <w:t>Příloha č.1: Cenová nabídka</w:t>
      </w:r>
    </w:p>
    <w:p>
      <w:pPr>
        <w:pStyle w:val="Style6"/>
        <w:keepNext w:val="0"/>
        <w:keepLines w:val="0"/>
        <w:widowControl w:val="0"/>
        <w:shd w:val="clear" w:color="auto" w:fill="auto"/>
        <w:bidi w:val="0"/>
        <w:spacing w:before="0" w:after="960" w:line="240" w:lineRule="auto"/>
        <w:ind w:left="0" w:right="0" w:firstLine="380"/>
        <w:jc w:val="both"/>
      </w:pPr>
      <w:r>
        <w:rPr>
          <w:color w:val="000000"/>
          <w:spacing w:val="0"/>
          <w:w w:val="100"/>
          <w:position w:val="0"/>
          <w:shd w:val="clear" w:color="auto" w:fill="auto"/>
          <w:lang w:val="cs-CZ" w:eastAsia="cs-CZ" w:bidi="cs-CZ"/>
        </w:rPr>
        <w:t>Příloha č.2: Souhrn připomínek k dokumentace EIA k doplnění a dopracování ze dne 16.1.2023</w:t>
      </w:r>
    </w:p>
    <w:p>
      <w:pPr>
        <w:pStyle w:val="Style6"/>
        <w:keepNext w:val="0"/>
        <w:keepLines w:val="0"/>
        <w:widowControl w:val="0"/>
        <w:shd w:val="clear" w:color="auto" w:fill="auto"/>
        <w:bidi w:val="0"/>
        <w:spacing w:before="0" w:after="720" w:line="480" w:lineRule="auto"/>
        <w:ind w:left="1440" w:right="0" w:firstLine="0"/>
        <w:jc w:val="left"/>
      </w:pPr>
      <w:r>
        <mc:AlternateContent>
          <mc:Choice Requires="wps">
            <w:drawing>
              <wp:anchor distT="0" distB="826135" distL="114300" distR="114300" simplePos="0" relativeHeight="125829386" behindDoc="0" locked="0" layoutInCell="1" allowOverlap="1">
                <wp:simplePos x="0" y="0"/>
                <wp:positionH relativeFrom="page">
                  <wp:posOffset>888365</wp:posOffset>
                </wp:positionH>
                <wp:positionV relativeFrom="paragraph">
                  <wp:posOffset>12700</wp:posOffset>
                </wp:positionV>
                <wp:extent cx="2045335" cy="685800"/>
                <wp:wrapSquare wrapText="right"/>
                <wp:docPr id="13" name="Shape 13"/>
                <a:graphic xmlns:a="http://schemas.openxmlformats.org/drawingml/2006/main">
                  <a:graphicData uri="http://schemas.microsoft.com/office/word/2010/wordprocessingShape">
                    <wps:wsp>
                      <wps:cNvSpPr txBox="1"/>
                      <wps:spPr>
                        <a:xfrm>
                          <a:ext cx="2045335" cy="685800"/>
                        </a:xfrm>
                        <a:prstGeom prst="rect"/>
                        <a:noFill/>
                      </wps:spPr>
                      <wps:txbx>
                        <w:txbxContent>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wps:txbx>
                      <wps:bodyPr lIns="0" tIns="0" rIns="0" bIns="0">
                        <a:noAutoFit/>
                      </wps:bodyPr>
                    </wps:wsp>
                  </a:graphicData>
                </a:graphic>
              </wp:anchor>
            </w:drawing>
          </mc:Choice>
          <mc:Fallback>
            <w:pict>
              <v:shape id="_x0000_s1039" type="#_x0000_t202" style="position:absolute;margin-left:69.950000000000003pt;margin-top:1.pt;width:161.05000000000001pt;height:54.pt;z-index:-125829367;mso-wrap-distance-left:9.pt;mso-wrap-distance-right:9.pt;mso-wrap-distance-bottom:65.049999999999997pt;mso-position-horizontal-relative:page" filled="f" stroked="f">
                <v:textbox inset="0,0,0,0">
                  <w:txbxContent>
                    <w:p>
                      <w:pPr>
                        <w:pStyle w:val="Style6"/>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txbxContent>
                </v:textbox>
                <w10:wrap type="square" side="right" anchorx="page"/>
              </v:shape>
            </w:pict>
          </mc:Fallback>
        </mc:AlternateContent>
      </w:r>
      <w:r>
        <mc:AlternateContent>
          <mc:Choice Requires="wps">
            <w:drawing>
              <wp:anchor distT="1124585" distB="0" distL="114300" distR="471170" simplePos="0" relativeHeight="125829388" behindDoc="0" locked="0" layoutInCell="1" allowOverlap="1">
                <wp:simplePos x="0" y="0"/>
                <wp:positionH relativeFrom="page">
                  <wp:posOffset>888365</wp:posOffset>
                </wp:positionH>
                <wp:positionV relativeFrom="paragraph">
                  <wp:posOffset>1137285</wp:posOffset>
                </wp:positionV>
                <wp:extent cx="1688465" cy="387350"/>
                <wp:wrapSquare wrapText="right"/>
                <wp:docPr id="15" name="Shape 15"/>
                <a:graphic xmlns:a="http://schemas.openxmlformats.org/drawingml/2006/main">
                  <a:graphicData uri="http://schemas.microsoft.com/office/word/2010/wordprocessingShape">
                    <wps:wsp>
                      <wps:cNvSpPr txBox="1"/>
                      <wps:spPr>
                        <a:xfrm>
                          <a:ext cx="1688465"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1" type="#_x0000_t202" style="position:absolute;margin-left:69.950000000000003pt;margin-top:89.549999999999997pt;width:132.94999999999999pt;height:30.5pt;z-index:-125829365;mso-wrap-distance-left:9.pt;mso-wrap-distance-top:88.549999999999997pt;mso-wrap-distance-right:37.10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side="right" anchorx="page"/>
              </v:shape>
            </w:pict>
          </mc:Fallback>
        </mc:AlternateContent>
      </w:r>
      <w:r>
        <w:rPr>
          <w:color w:val="000000"/>
          <w:spacing w:val="0"/>
          <w:w w:val="100"/>
          <w:position w:val="0"/>
          <w:shd w:val="clear" w:color="auto" w:fill="auto"/>
          <w:lang w:val="cs-CZ" w:eastAsia="cs-CZ" w:bidi="cs-CZ"/>
        </w:rPr>
        <w:t>V Praze dne………………. oprávněný zástupce zhotovitele</w:t>
      </w:r>
    </w:p>
    <w:p>
      <w:pPr>
        <w:pStyle w:val="Style6"/>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ředitel divize 06</w:t>
      </w:r>
    </w:p>
    <w:p>
      <w:pPr>
        <w:pStyle w:val="Style6"/>
        <w:keepNext w:val="0"/>
        <w:keepLines w:val="0"/>
        <w:widowControl w:val="0"/>
        <w:shd w:val="clear" w:color="auto" w:fill="auto"/>
        <w:bidi w:val="0"/>
        <w:spacing w:before="0" w:line="240" w:lineRule="auto"/>
        <w:ind w:left="1440" w:right="0" w:firstLine="0"/>
        <w:jc w:val="left"/>
      </w:pPr>
      <w:r>
        <w:rPr>
          <w:color w:val="000000"/>
          <w:spacing w:val="0"/>
          <w:w w:val="100"/>
          <w:position w:val="0"/>
          <w:shd w:val="clear" w:color="auto" w:fill="auto"/>
          <w:lang w:val="cs-CZ" w:eastAsia="cs-CZ" w:bidi="cs-CZ"/>
        </w:rPr>
        <w:t>Vodohospodářský rozvoj a výstavba a.s.</w:t>
      </w:r>
    </w:p>
    <w:sectPr>
      <w:footnotePr>
        <w:pos w:val="pageBottom"/>
        <w:numFmt w:val="decimal"/>
        <w:numRestart w:val="continuous"/>
      </w:footnotePr>
      <w:type w:val="continuous"/>
      <w:pgSz w:w="11909" w:h="16838"/>
      <w:pgMar w:top="1077" w:left="1239" w:right="830" w:bottom="15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6196965</wp:posOffset>
              </wp:positionH>
              <wp:positionV relativeFrom="page">
                <wp:posOffset>9782175</wp:posOffset>
              </wp:positionV>
              <wp:extent cx="819785" cy="198120"/>
              <wp:wrapNone/>
              <wp:docPr id="3" name="Shape 3"/>
              <a:graphic xmlns:a="http://schemas.openxmlformats.org/drawingml/2006/main">
                <a:graphicData uri="http://schemas.microsoft.com/office/word/2010/wordprocessingShape">
                  <wps:wsp>
                    <wps:cNvSpPr txBox="1"/>
                    <wps:spPr>
                      <a:xfrm>
                        <a:ext cx="81978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87.94999999999999pt;margin-top:770.25pt;width:64.549999999999997pt;height:15.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6092825</wp:posOffset>
              </wp:positionH>
              <wp:positionV relativeFrom="page">
                <wp:posOffset>382270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9.75pt;margin-top:30.100000000000001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after="16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