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460" w:line="336" w:lineRule="auto"/>
        <w:ind w:left="0" w:right="0" w:firstLine="0"/>
        <w:jc w:val="center"/>
      </w:pPr>
      <w:r>
        <w:rPr>
          <w:b/>
          <w:bCs/>
          <w:color w:val="000000"/>
          <w:spacing w:val="0"/>
          <w:w w:val="100"/>
          <w:position w:val="0"/>
          <w:sz w:val="28"/>
          <w:szCs w:val="28"/>
          <w:shd w:val="clear" w:color="auto" w:fill="auto"/>
          <w:lang w:val="cs-CZ" w:eastAsia="cs-CZ" w:bidi="cs-CZ"/>
        </w:rPr>
        <w:t>D O D A T E K č. 1</w:t>
        <w:br/>
        <w:t>K N Á J E M N Í S M L O U V Ě č. 301/2021</w:t>
        <w:br/>
      </w:r>
      <w:r>
        <w:rPr>
          <w:b/>
          <w:bCs/>
          <w:color w:val="000000"/>
          <w:spacing w:val="0"/>
          <w:w w:val="100"/>
          <w:position w:val="0"/>
          <w:shd w:val="clear" w:color="auto" w:fill="auto"/>
          <w:lang w:val="cs-CZ" w:eastAsia="cs-CZ" w:bidi="cs-CZ"/>
        </w:rPr>
        <w:t>uzavřené dne 17. 5. 2021</w:t>
        <w:br/>
      </w:r>
      <w:r>
        <w:rPr>
          <w:color w:val="000000"/>
          <w:spacing w:val="0"/>
          <w:w w:val="100"/>
          <w:position w:val="0"/>
          <w:shd w:val="clear" w:color="auto" w:fill="auto"/>
          <w:lang w:val="cs-CZ" w:eastAsia="cs-CZ" w:bidi="cs-CZ"/>
        </w:rPr>
        <w:t>uzavřen podle § 2201 a násl. zákona č. 89/2012 Sb., občanského zákoníku v platném znění</w:t>
      </w:r>
    </w:p>
    <w:p>
      <w:pPr>
        <w:pStyle w:val="Style9"/>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Pronajímatel:</w:t>
      </w:r>
      <w:bookmarkEnd w:id="0"/>
      <w:bookmarkEnd w:id="1"/>
      <w:bookmarkEnd w:id="2"/>
    </w:p>
    <w:p>
      <w:pPr>
        <w:pStyle w:val="Style9"/>
        <w:keepNext/>
        <w:keepLines/>
        <w:widowControl w:val="0"/>
        <w:shd w:val="clear" w:color="auto" w:fill="auto"/>
        <w:bidi w:val="0"/>
        <w:spacing w:before="0" w:after="0" w:line="240" w:lineRule="auto"/>
        <w:ind w:left="0" w:right="0" w:firstLine="0"/>
        <w:jc w:val="left"/>
      </w:pPr>
      <w:bookmarkStart w:id="0" w:name="bookmark0"/>
      <w:bookmarkStart w:id="1" w:name="bookmark1"/>
      <w:bookmarkStart w:id="3" w:name="bookmark3"/>
      <w:r>
        <w:rPr>
          <w:color w:val="000000"/>
          <w:spacing w:val="0"/>
          <w:w w:val="100"/>
          <w:position w:val="0"/>
          <w:shd w:val="clear" w:color="auto" w:fill="auto"/>
          <w:lang w:val="cs-CZ" w:eastAsia="cs-CZ" w:bidi="cs-CZ"/>
        </w:rPr>
        <w:t>Povodí Ohře, státní podnik</w:t>
      </w:r>
      <w:bookmarkEnd w:id="0"/>
      <w:bookmarkEnd w:id="1"/>
      <w:bookmarkEnd w:id="3"/>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zastoupený ve věcech smluvních: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KB, a. s., pobočka Chomutov, č. ú. 9137441/0100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Kontaktní osoba:</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u Krajského soudu v Ústí nad Labem v oddílu A, vložce č. 13052</w:t>
      </w:r>
    </w:p>
    <w:p>
      <w:pPr>
        <w:pStyle w:val="Style9"/>
        <w:keepNext/>
        <w:keepLines/>
        <w:widowControl w:val="0"/>
        <w:shd w:val="clear" w:color="auto" w:fill="auto"/>
        <w:bidi w:val="0"/>
        <w:spacing w:before="0" w:after="0" w:line="240" w:lineRule="auto"/>
        <w:ind w:left="0" w:right="0" w:firstLine="0"/>
        <w:jc w:val="left"/>
      </w:pPr>
      <w:bookmarkStart w:id="4" w:name="bookmark4"/>
      <w:bookmarkStart w:id="5" w:name="bookmark5"/>
      <w:bookmarkStart w:id="6" w:name="bookmark6"/>
      <w:r>
        <w:rPr>
          <w:color w:val="000000"/>
          <w:spacing w:val="0"/>
          <w:w w:val="100"/>
          <w:position w:val="0"/>
          <w:shd w:val="clear" w:color="auto" w:fill="auto"/>
          <w:lang w:val="cs-CZ" w:eastAsia="cs-CZ" w:bidi="cs-CZ"/>
        </w:rPr>
        <w:t>Nájemce:</w:t>
      </w:r>
      <w:bookmarkEnd w:id="4"/>
      <w:bookmarkEnd w:id="5"/>
      <w:bookmarkEnd w:id="6"/>
    </w:p>
    <w:p>
      <w:pPr>
        <w:pStyle w:val="Style9"/>
        <w:keepNext/>
        <w:keepLines/>
        <w:widowControl w:val="0"/>
        <w:shd w:val="clear" w:color="auto" w:fill="auto"/>
        <w:bidi w:val="0"/>
        <w:spacing w:before="0" w:after="0" w:line="240" w:lineRule="auto"/>
        <w:ind w:left="0" w:right="0" w:firstLine="0"/>
        <w:jc w:val="left"/>
      </w:pPr>
      <w:bookmarkStart w:id="4" w:name="bookmark4"/>
      <w:bookmarkStart w:id="5" w:name="bookmark5"/>
      <w:bookmarkStart w:id="7" w:name="bookmark7"/>
      <w:r>
        <w:rPr>
          <w:color w:val="000000"/>
          <w:spacing w:val="0"/>
          <w:w w:val="100"/>
          <w:position w:val="0"/>
          <w:shd w:val="clear" w:color="auto" w:fill="auto"/>
          <w:lang w:val="cs-CZ" w:eastAsia="cs-CZ" w:bidi="cs-CZ"/>
        </w:rPr>
        <w:t>Yacht Club Nechranice</w:t>
      </w:r>
      <w:bookmarkEnd w:id="4"/>
      <w:bookmarkEnd w:id="5"/>
      <w:bookmarkEnd w:id="7"/>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Loděnice Vikletice 47, 438 01 Chbany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46787381</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Spolek je veden u Krajského soudu v Ústí nad Labem, sp. zn. L 985</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(společně dále jako „účastníci“)</w:t>
      </w:r>
    </w:p>
    <w:p>
      <w:pPr>
        <w:pStyle w:val="Style2"/>
        <w:keepNext w:val="0"/>
        <w:keepLines w:val="0"/>
        <w:widowControl w:val="0"/>
        <w:shd w:val="clear" w:color="auto" w:fill="auto"/>
        <w:bidi w:val="0"/>
        <w:spacing w:before="0" w:after="0" w:line="480" w:lineRule="auto"/>
        <w:ind w:left="0" w:right="0" w:firstLine="0"/>
        <w:jc w:val="center"/>
      </w:pPr>
      <w:r>
        <w:rPr>
          <w:color w:val="000000"/>
          <w:spacing w:val="0"/>
          <w:w w:val="100"/>
          <w:position w:val="0"/>
          <w:shd w:val="clear" w:color="auto" w:fill="auto"/>
          <w:lang w:val="cs-CZ" w:eastAsia="cs-CZ" w:bidi="cs-CZ"/>
        </w:rPr>
        <w:t>uzavírají níže uvedeného dne, měsíce, roku tento</w:t>
        <w:br/>
      </w:r>
      <w:r>
        <w:rPr>
          <w:b/>
          <w:bCs/>
          <w:color w:val="000000"/>
          <w:spacing w:val="0"/>
          <w:w w:val="100"/>
          <w:position w:val="0"/>
          <w:shd w:val="clear" w:color="auto" w:fill="auto"/>
          <w:lang w:val="cs-CZ" w:eastAsia="cs-CZ" w:bidi="cs-CZ"/>
        </w:rPr>
        <w:t>dodatek č. 1 k Nájemní smlouvě č. 301/2021 (dále jen „Smlouva“)</w:t>
      </w:r>
    </w:p>
    <w:p>
      <w:pPr>
        <w:pStyle w:val="Style9"/>
        <w:keepNext/>
        <w:keepLines/>
        <w:widowControl w:val="0"/>
        <w:numPr>
          <w:ilvl w:val="0"/>
          <w:numId w:val="1"/>
        </w:numPr>
        <w:shd w:val="clear" w:color="auto" w:fill="auto"/>
        <w:tabs>
          <w:tab w:pos="357" w:val="left"/>
        </w:tabs>
        <w:bidi w:val="0"/>
        <w:spacing w:before="0" w:after="0" w:line="480" w:lineRule="auto"/>
        <w:ind w:left="0" w:right="0" w:firstLine="0"/>
        <w:jc w:val="center"/>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 DODATKU</w:t>
      </w:r>
      <w:bookmarkEnd w:id="11"/>
      <w:bookmarkEnd w:id="8"/>
      <w:bookmarkEnd w:id="9"/>
    </w:p>
    <w:p>
      <w:pPr>
        <w:pStyle w:val="Style2"/>
        <w:keepNext w:val="0"/>
        <w:keepLines w:val="0"/>
        <w:widowControl w:val="0"/>
        <w:numPr>
          <w:ilvl w:val="0"/>
          <w:numId w:val="3"/>
        </w:numPr>
        <w:shd w:val="clear" w:color="auto" w:fill="auto"/>
        <w:tabs>
          <w:tab w:pos="368" w:val="left"/>
        </w:tabs>
        <w:bidi w:val="0"/>
        <w:spacing w:before="0" w:after="0" w:line="240" w:lineRule="auto"/>
        <w:ind w:left="440" w:right="0" w:hanging="440"/>
        <w:jc w:val="left"/>
      </w:pPr>
      <w:bookmarkStart w:id="12" w:name="bookmark12"/>
      <w:bookmarkEnd w:id="12"/>
      <w:r>
        <w:rPr>
          <w:color w:val="000000"/>
          <w:spacing w:val="0"/>
          <w:w w:val="100"/>
          <w:position w:val="0"/>
          <w:shd w:val="clear" w:color="auto" w:fill="auto"/>
          <w:lang w:val="cs-CZ" w:eastAsia="cs-CZ" w:bidi="cs-CZ"/>
        </w:rPr>
        <w:t>Na podkladě skutečností, se smluvní strany dohodly na uzavření dodatku č. 1 k nájemní smlouvě č. 301/2021 uzavřené dne 17. 5. 2021.</w:t>
      </w:r>
    </w:p>
    <w:p>
      <w:pPr>
        <w:pStyle w:val="Style2"/>
        <w:keepNext w:val="0"/>
        <w:keepLines w:val="0"/>
        <w:widowControl w:val="0"/>
        <w:numPr>
          <w:ilvl w:val="0"/>
          <w:numId w:val="3"/>
        </w:numPr>
        <w:shd w:val="clear" w:color="auto" w:fill="auto"/>
        <w:tabs>
          <w:tab w:pos="368" w:val="left"/>
        </w:tabs>
        <w:bidi w:val="0"/>
        <w:spacing w:before="0" w:after="400" w:line="240" w:lineRule="auto"/>
        <w:ind w:left="0" w:right="0" w:firstLine="0"/>
        <w:jc w:val="left"/>
      </w:pPr>
      <w:bookmarkStart w:id="13" w:name="bookmark13"/>
      <w:bookmarkEnd w:id="13"/>
      <w:r>
        <w:rPr>
          <w:color w:val="000000"/>
          <w:spacing w:val="0"/>
          <w:w w:val="100"/>
          <w:position w:val="0"/>
          <w:shd w:val="clear" w:color="auto" w:fill="auto"/>
          <w:lang w:val="cs-CZ" w:eastAsia="cs-CZ" w:bidi="cs-CZ"/>
        </w:rPr>
        <w:t>Smluvní strany se dohodly na tomto znění:</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V článku II. Předmět nájmu se mění na následující znění:</w:t>
      </w:r>
    </w:p>
    <w:p>
      <w:pPr>
        <w:pStyle w:val="Style2"/>
        <w:keepNext w:val="0"/>
        <w:keepLines w:val="0"/>
        <w:widowControl w:val="0"/>
        <w:numPr>
          <w:ilvl w:val="0"/>
          <w:numId w:val="5"/>
        </w:numPr>
        <w:shd w:val="clear" w:color="auto" w:fill="auto"/>
        <w:tabs>
          <w:tab w:pos="368" w:val="left"/>
        </w:tabs>
        <w:bidi w:val="0"/>
        <w:spacing w:before="0" w:after="180" w:line="240" w:lineRule="auto"/>
        <w:ind w:left="0" w:right="0" w:firstLine="0"/>
        <w:jc w:val="left"/>
      </w:pPr>
      <w:bookmarkStart w:id="14" w:name="bookmark14"/>
      <w:bookmarkEnd w:id="14"/>
      <w:r>
        <w:rPr>
          <w:color w:val="000000"/>
          <w:spacing w:val="0"/>
          <w:w w:val="100"/>
          <w:position w:val="0"/>
          <w:shd w:val="clear" w:color="auto" w:fill="auto"/>
          <w:lang w:val="cs-CZ" w:eastAsia="cs-CZ" w:bidi="cs-CZ"/>
        </w:rPr>
        <w:t>Předmětem nájmu jsou pozemky p. č. 400/1 a 400/4 v k. ú. Vikletice o níže uvedených výměrách:</w:t>
      </w:r>
    </w:p>
    <w:tbl>
      <w:tblPr>
        <w:tblOverlap w:val="never"/>
        <w:jc w:val="center"/>
        <w:tblLayout w:type="fixed"/>
      </w:tblPr>
      <w:tblGrid>
        <w:gridCol w:w="2707"/>
        <w:gridCol w:w="960"/>
        <w:gridCol w:w="2102"/>
        <w:gridCol w:w="2419"/>
        <w:gridCol w:w="1330"/>
      </w:tblGrid>
      <w:tr>
        <w:trPr>
          <w:trHeight w:val="667"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Katastrální území</w:t>
            </w:r>
          </w:p>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Vikletice</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100" w:line="240" w:lineRule="auto"/>
              <w:ind w:left="0" w:right="0" w:firstLine="220"/>
              <w:jc w:val="left"/>
            </w:pPr>
            <w:r>
              <w:rPr>
                <w:b/>
                <w:bCs/>
                <w:color w:val="000000"/>
                <w:spacing w:val="0"/>
                <w:w w:val="100"/>
                <w:position w:val="0"/>
                <w:shd w:val="clear" w:color="auto" w:fill="auto"/>
                <w:lang w:val="cs-CZ" w:eastAsia="cs-CZ" w:bidi="cs-CZ"/>
              </w:rPr>
              <w:t>p.p.č.</w:t>
            </w:r>
          </w:p>
          <w:p>
            <w:pPr>
              <w:pStyle w:val="Style12"/>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400/1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422" w:lineRule="auto"/>
              <w:ind w:left="0" w:right="0" w:firstLine="0"/>
              <w:jc w:val="center"/>
            </w:pPr>
            <w:r>
              <w:rPr>
                <w:b/>
                <w:bCs/>
                <w:color w:val="000000"/>
                <w:spacing w:val="0"/>
                <w:w w:val="100"/>
                <w:position w:val="0"/>
                <w:shd w:val="clear" w:color="auto" w:fill="auto"/>
                <w:lang w:val="cs-CZ" w:eastAsia="cs-CZ" w:bidi="cs-CZ"/>
              </w:rPr>
              <w:t xml:space="preserve">druh pozemku </w:t>
            </w:r>
            <w:r>
              <w:rPr>
                <w:color w:val="000000"/>
                <w:spacing w:val="0"/>
                <w:w w:val="100"/>
                <w:position w:val="0"/>
                <w:shd w:val="clear" w:color="auto" w:fill="auto"/>
                <w:lang w:val="cs-CZ" w:eastAsia="cs-CZ" w:bidi="cs-CZ"/>
              </w:rPr>
              <w:t>vodní plocha</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celková výměra</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1 930 574 m</w:t>
            </w:r>
            <w:r>
              <w:rPr>
                <w:color w:val="000000"/>
                <w:spacing w:val="0"/>
                <w:w w:val="100"/>
                <w:position w:val="0"/>
                <w:shd w:val="clear" w:color="auto" w:fill="auto"/>
                <w:vertAlign w:val="superscript"/>
                <w:lang w:val="cs-CZ" w:eastAsia="cs-CZ" w:bidi="cs-CZ"/>
              </w:rPr>
              <w:t>2</w:t>
            </w:r>
          </w:p>
        </w:tc>
        <w:tc>
          <w:tcPr>
            <w:tcBorders>
              <w:top w:val="single" w:sz="4"/>
              <w:left w:val="single" w:sz="4"/>
              <w:right w:val="single" w:sz="4"/>
            </w:tcBorders>
            <w:shd w:val="clear" w:color="auto" w:fill="C0C0C0"/>
            <w:vAlign w:val="bottom"/>
          </w:tcPr>
          <w:p>
            <w:pPr>
              <w:pStyle w:val="Style12"/>
              <w:keepNext w:val="0"/>
              <w:keepLines w:val="0"/>
              <w:widowControl w:val="0"/>
              <w:shd w:val="clear" w:color="auto" w:fill="auto"/>
              <w:bidi w:val="0"/>
              <w:spacing w:before="0" w:after="100" w:line="240" w:lineRule="auto"/>
              <w:ind w:left="0" w:right="0" w:firstLine="200"/>
              <w:jc w:val="left"/>
            </w:pPr>
            <w:r>
              <w:rPr>
                <w:b/>
                <w:bCs/>
                <w:color w:val="000000"/>
                <w:spacing w:val="0"/>
                <w:w w:val="100"/>
                <w:position w:val="0"/>
                <w:shd w:val="clear" w:color="auto" w:fill="auto"/>
                <w:lang w:val="cs-CZ" w:eastAsia="cs-CZ" w:bidi="cs-CZ"/>
              </w:rPr>
              <w:t>pronájem</w:t>
            </w:r>
          </w:p>
          <w:p>
            <w:pPr>
              <w:pStyle w:val="Style12"/>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6 240 m</w:t>
            </w:r>
            <w:r>
              <w:rPr>
                <w:b/>
                <w:bCs/>
                <w:color w:val="000000"/>
                <w:spacing w:val="0"/>
                <w:w w:val="100"/>
                <w:position w:val="0"/>
                <w:shd w:val="clear" w:color="auto" w:fill="auto"/>
                <w:vertAlign w:val="superscript"/>
                <w:lang w:val="cs-CZ" w:eastAsia="cs-CZ" w:bidi="cs-CZ"/>
              </w:rPr>
              <w:t>2</w:t>
            </w:r>
          </w:p>
        </w:tc>
      </w:tr>
      <w:tr>
        <w:trPr>
          <w:trHeight w:val="432" w:hRule="exact"/>
        </w:trPr>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Vikletice</w:t>
            </w:r>
          </w:p>
        </w:tc>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400/4</w:t>
            </w:r>
          </w:p>
        </w:tc>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ostatní plocha</w:t>
            </w:r>
          </w:p>
        </w:tc>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115 467 m</w:t>
            </w:r>
            <w:r>
              <w:rPr>
                <w:color w:val="000000"/>
                <w:spacing w:val="0"/>
                <w:w w:val="100"/>
                <w:position w:val="0"/>
                <w:shd w:val="clear" w:color="auto" w:fill="auto"/>
                <w:vertAlign w:val="superscript"/>
                <w:lang w:val="cs-CZ" w:eastAsia="cs-CZ" w:bidi="cs-CZ"/>
              </w:rPr>
              <w:t>2</w:t>
            </w:r>
          </w:p>
        </w:tc>
        <w:tc>
          <w:tcPr>
            <w:tcBorders>
              <w:top w:val="single" w:sz="4"/>
              <w:left w:val="single" w:sz="4"/>
              <w:bottom w:val="single" w:sz="4"/>
              <w:right w:val="single" w:sz="4"/>
            </w:tcBorders>
            <w:shd w:val="clear" w:color="auto" w:fill="C0C0C0"/>
            <w:vAlign w:val="bottom"/>
          </w:tcPr>
          <w:p>
            <w:pPr>
              <w:pStyle w:val="Style12"/>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14 972 m</w:t>
            </w:r>
            <w:r>
              <w:rPr>
                <w:b/>
                <w:bCs/>
                <w:color w:val="000000"/>
                <w:spacing w:val="0"/>
                <w:w w:val="100"/>
                <w:position w:val="0"/>
                <w:shd w:val="clear" w:color="auto" w:fill="auto"/>
                <w:vertAlign w:val="superscript"/>
                <w:lang w:val="cs-CZ" w:eastAsia="cs-CZ" w:bidi="cs-CZ"/>
              </w:rPr>
              <w:t>2</w:t>
            </w:r>
          </w:p>
        </w:tc>
      </w:tr>
    </w:tbl>
    <w:p>
      <w:pPr>
        <w:widowControl w:val="0"/>
        <w:spacing w:after="17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Celková plocha pronajatých pozemků činí 21 212 m</w:t>
      </w:r>
      <w:r>
        <w:rPr>
          <w:color w:val="000000"/>
          <w:spacing w:val="0"/>
          <w:w w:val="100"/>
          <w:position w:val="0"/>
          <w:shd w:val="clear" w:color="auto" w:fill="auto"/>
          <w:vertAlign w:val="superscript"/>
          <w:lang w:val="cs-CZ" w:eastAsia="cs-CZ" w:bidi="cs-CZ"/>
        </w:rPr>
        <w:t>2</w:t>
      </w:r>
    </w:p>
    <w:p>
      <w:pPr>
        <w:pStyle w:val="Style2"/>
        <w:keepNext w:val="0"/>
        <w:keepLines w:val="0"/>
        <w:widowControl w:val="0"/>
        <w:shd w:val="clear" w:color="auto" w:fill="auto"/>
        <w:bidi w:val="0"/>
        <w:spacing w:before="0" w:after="0" w:line="240" w:lineRule="auto"/>
        <w:ind w:left="740" w:right="0" w:hanging="360"/>
        <w:jc w:val="both"/>
      </w:pPr>
      <w:r>
        <w:rPr>
          <w:color w:val="000000"/>
          <w:spacing w:val="0"/>
          <w:w w:val="100"/>
          <w:position w:val="0"/>
          <w:shd w:val="clear" w:color="auto" w:fill="auto"/>
          <w:lang w:val="cs-CZ" w:eastAsia="cs-CZ" w:bidi="cs-CZ"/>
        </w:rPr>
        <w:t xml:space="preserve">- </w:t>
      </w:r>
      <w:r>
        <w:rPr>
          <w:i/>
          <w:iCs/>
          <w:color w:val="000000"/>
          <w:spacing w:val="0"/>
          <w:w w:val="100"/>
          <w:position w:val="0"/>
          <w:shd w:val="clear" w:color="auto" w:fill="auto"/>
          <w:lang w:val="cs-CZ" w:eastAsia="cs-CZ" w:bidi="cs-CZ"/>
        </w:rPr>
        <w:t>běžný nájem</w:t>
      </w:r>
      <w:r>
        <w:rPr>
          <w:color w:val="000000"/>
          <w:spacing w:val="0"/>
          <w:w w:val="100"/>
          <w:position w:val="0"/>
          <w:shd w:val="clear" w:color="auto" w:fill="auto"/>
          <w:lang w:val="cs-CZ" w:eastAsia="cs-CZ" w:bidi="cs-CZ"/>
        </w:rPr>
        <w:t>: nájem pod AZZÚ Ohře 7 142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jen pro stany a nájem nad AZZÚ Ohře 14 070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jen pro pojízdné přívěsy a karavany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Předmětné parcely jsou vyznačeny v přiloženém snímku KN.</w:t>
      </w:r>
    </w:p>
    <w:p>
      <w:pPr>
        <w:pStyle w:val="Style2"/>
        <w:keepNext w:val="0"/>
        <w:keepLines w:val="0"/>
        <w:widowControl w:val="0"/>
        <w:numPr>
          <w:ilvl w:val="0"/>
          <w:numId w:val="5"/>
        </w:numPr>
        <w:shd w:val="clear" w:color="auto" w:fill="auto"/>
        <w:tabs>
          <w:tab w:pos="368" w:val="left"/>
        </w:tabs>
        <w:bidi w:val="0"/>
        <w:spacing w:before="0" w:after="0" w:line="240" w:lineRule="auto"/>
        <w:ind w:left="380" w:right="0" w:hanging="380"/>
        <w:jc w:val="left"/>
      </w:pPr>
      <w:bookmarkStart w:id="15" w:name="bookmark15"/>
      <w:bookmarkEnd w:id="15"/>
      <w:r>
        <w:rPr>
          <w:color w:val="000000"/>
          <w:spacing w:val="0"/>
          <w:w w:val="100"/>
          <w:position w:val="0"/>
          <w:shd w:val="clear" w:color="auto" w:fill="auto"/>
          <w:lang w:val="cs-CZ" w:eastAsia="cs-CZ" w:bidi="cs-CZ"/>
        </w:rPr>
        <w:t>Předmětem nájmu je dále umístění jednoho plovoucího mola a 7 ks bójí na pozemku p. č. 400/1 v k. ú. Vikletice.</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V článku III. Účel nájmu se mění na následující znění:</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Uvedené pozemky jsou nájemci pronajímány za účelem provozování windsurfingového klubu, rekreace pro přispívající členy Yacht Clubu Nechranice, umístění mola a bójek.</w:t>
      </w:r>
    </w:p>
    <w:p>
      <w:pPr>
        <w:pStyle w:val="Style2"/>
        <w:keepNext w:val="0"/>
        <w:keepLines w:val="0"/>
        <w:widowControl w:val="0"/>
        <w:numPr>
          <w:ilvl w:val="0"/>
          <w:numId w:val="7"/>
        </w:numPr>
        <w:shd w:val="clear" w:color="auto" w:fill="auto"/>
        <w:tabs>
          <w:tab w:pos="364" w:val="left"/>
        </w:tabs>
        <w:bidi w:val="0"/>
        <w:spacing w:before="0" w:after="0" w:line="240" w:lineRule="auto"/>
        <w:ind w:left="0" w:right="0" w:firstLine="0"/>
        <w:jc w:val="left"/>
      </w:pPr>
      <w:bookmarkStart w:id="16" w:name="bookmark16"/>
      <w:bookmarkEnd w:id="16"/>
      <w:r>
        <w:rPr>
          <w:b/>
          <w:bCs/>
          <w:i/>
          <w:iCs/>
          <w:color w:val="000000"/>
          <w:spacing w:val="0"/>
          <w:w w:val="100"/>
          <w:position w:val="0"/>
          <w:shd w:val="clear" w:color="auto" w:fill="auto"/>
          <w:lang w:val="cs-CZ" w:eastAsia="cs-CZ" w:bidi="cs-CZ"/>
        </w:rPr>
        <w:t>článku V. Cena a platební podmínky se mění na následující znění:</w:t>
      </w:r>
    </w:p>
    <w:p>
      <w:pPr>
        <w:pStyle w:val="Style2"/>
        <w:keepNext w:val="0"/>
        <w:keepLines w:val="0"/>
        <w:widowControl w:val="0"/>
        <w:numPr>
          <w:ilvl w:val="0"/>
          <w:numId w:val="9"/>
        </w:numPr>
        <w:shd w:val="clear" w:color="auto" w:fill="auto"/>
        <w:tabs>
          <w:tab w:pos="364" w:val="left"/>
        </w:tabs>
        <w:bidi w:val="0"/>
        <w:spacing w:before="0" w:after="0" w:line="240" w:lineRule="auto"/>
        <w:ind w:left="0" w:right="0" w:firstLine="0"/>
        <w:jc w:val="both"/>
      </w:pPr>
      <w:bookmarkStart w:id="17" w:name="bookmark17"/>
      <w:bookmarkEnd w:id="17"/>
      <w:r>
        <w:rPr>
          <w:color w:val="000000"/>
          <w:spacing w:val="0"/>
          <w:w w:val="100"/>
          <w:position w:val="0"/>
          <w:shd w:val="clear" w:color="auto" w:fill="auto"/>
          <w:lang w:val="cs-CZ" w:eastAsia="cs-CZ" w:bidi="cs-CZ"/>
        </w:rPr>
        <w:t>Cena nájmu je smluvní.</w:t>
      </w:r>
    </w:p>
    <w:p>
      <w:pPr>
        <w:pStyle w:val="Style2"/>
        <w:keepNext w:val="0"/>
        <w:keepLines w:val="0"/>
        <w:widowControl w:val="0"/>
        <w:numPr>
          <w:ilvl w:val="0"/>
          <w:numId w:val="9"/>
        </w:numPr>
        <w:shd w:val="clear" w:color="auto" w:fill="auto"/>
        <w:tabs>
          <w:tab w:pos="364" w:val="left"/>
        </w:tabs>
        <w:bidi w:val="0"/>
        <w:spacing w:before="0" w:after="0" w:line="240" w:lineRule="auto"/>
        <w:ind w:left="440" w:right="0" w:hanging="440"/>
        <w:jc w:val="both"/>
      </w:pPr>
      <w:bookmarkStart w:id="18" w:name="bookmark18"/>
      <w:bookmarkEnd w:id="18"/>
      <w:r>
        <w:rPr>
          <w:color w:val="000000"/>
          <w:spacing w:val="0"/>
          <w:w w:val="100"/>
          <w:position w:val="0"/>
          <w:shd w:val="clear" w:color="auto" w:fill="auto"/>
          <w:lang w:val="cs-CZ" w:eastAsia="cs-CZ" w:bidi="cs-CZ"/>
        </w:rPr>
        <w:t>Nájem pozemků bude v souladu se zákonem č. 235/2004 Sb., o DPH v platném znění považován za plnění od daně osvobozené.</w:t>
      </w:r>
    </w:p>
    <w:p>
      <w:pPr>
        <w:pStyle w:val="Style2"/>
        <w:keepNext w:val="0"/>
        <w:keepLines w:val="0"/>
        <w:widowControl w:val="0"/>
        <w:numPr>
          <w:ilvl w:val="0"/>
          <w:numId w:val="9"/>
        </w:numPr>
        <w:shd w:val="clear" w:color="auto" w:fill="auto"/>
        <w:tabs>
          <w:tab w:pos="364" w:val="left"/>
        </w:tabs>
        <w:bidi w:val="0"/>
        <w:spacing w:before="0" w:after="0" w:line="240" w:lineRule="auto"/>
        <w:ind w:left="440" w:right="0" w:hanging="440"/>
        <w:jc w:val="both"/>
      </w:pPr>
      <w:bookmarkStart w:id="19" w:name="bookmark19"/>
      <w:bookmarkEnd w:id="19"/>
      <w:r>
        <w:rPr>
          <w:color w:val="000000"/>
          <w:spacing w:val="0"/>
          <w:w w:val="100"/>
          <w:position w:val="0"/>
          <w:shd w:val="clear" w:color="auto" w:fill="auto"/>
          <w:lang w:val="cs-CZ" w:eastAsia="cs-CZ" w:bidi="cs-CZ"/>
        </w:rPr>
        <w:t>Cena nájmu včetně inflace je na rok 2024 stanovena ve výši 113 621,08 Kč za 21 212 m</w:t>
      </w:r>
      <w:r>
        <w:rPr>
          <w:color w:val="000000"/>
          <w:spacing w:val="0"/>
          <w:w w:val="100"/>
          <w:position w:val="0"/>
          <w:shd w:val="clear" w:color="auto" w:fill="auto"/>
          <w:vertAlign w:val="superscript"/>
          <w:lang w:val="cs-CZ" w:eastAsia="cs-CZ" w:bidi="cs-CZ"/>
        </w:rPr>
        <w:t xml:space="preserve">2 </w:t>
      </w:r>
      <w:r>
        <w:rPr>
          <w:color w:val="000000"/>
          <w:spacing w:val="0"/>
          <w:w w:val="100"/>
          <w:position w:val="0"/>
          <w:shd w:val="clear" w:color="auto" w:fill="auto"/>
          <w:lang w:val="cs-CZ" w:eastAsia="cs-CZ" w:bidi="cs-CZ"/>
        </w:rPr>
        <w:t>pozemků. Tato cena bude na rok 2025 pronajímatelem upravena v návaznosti na výši oficiálně (úředně) zjištěné inflace a bude nájemci sdělena prostřednictvím příslušného daňového dokladu.</w:t>
      </w:r>
    </w:p>
    <w:p>
      <w:pPr>
        <w:pStyle w:val="Style2"/>
        <w:keepNext w:val="0"/>
        <w:keepLines w:val="0"/>
        <w:widowControl w:val="0"/>
        <w:numPr>
          <w:ilvl w:val="0"/>
          <w:numId w:val="9"/>
        </w:numPr>
        <w:shd w:val="clear" w:color="auto" w:fill="auto"/>
        <w:tabs>
          <w:tab w:pos="364" w:val="left"/>
        </w:tabs>
        <w:bidi w:val="0"/>
        <w:spacing w:before="0" w:after="0" w:line="240" w:lineRule="auto"/>
        <w:ind w:left="0" w:right="0" w:firstLine="0"/>
        <w:jc w:val="left"/>
      </w:pPr>
      <w:bookmarkStart w:id="20" w:name="bookmark20"/>
      <w:bookmarkEnd w:id="20"/>
      <w:r>
        <w:rPr>
          <w:color w:val="000000"/>
          <w:spacing w:val="0"/>
          <w:w w:val="100"/>
          <w:position w:val="0"/>
          <w:shd w:val="clear" w:color="auto" w:fill="auto"/>
          <w:lang w:val="cs-CZ" w:eastAsia="cs-CZ" w:bidi="cs-CZ"/>
        </w:rPr>
        <w:t>Cena nájmu za molo je stanovena ve výši 1.500 Kč/rok + DPH.</w:t>
      </w:r>
    </w:p>
    <w:p>
      <w:pPr>
        <w:pStyle w:val="Style2"/>
        <w:keepNext w:val="0"/>
        <w:keepLines w:val="0"/>
        <w:widowControl w:val="0"/>
        <w:numPr>
          <w:ilvl w:val="0"/>
          <w:numId w:val="9"/>
        </w:numPr>
        <w:shd w:val="clear" w:color="auto" w:fill="auto"/>
        <w:tabs>
          <w:tab w:pos="364" w:val="left"/>
        </w:tabs>
        <w:bidi w:val="0"/>
        <w:spacing w:before="0" w:after="0" w:line="240" w:lineRule="auto"/>
        <w:ind w:left="440" w:right="0" w:hanging="440"/>
        <w:jc w:val="both"/>
      </w:pPr>
      <w:bookmarkStart w:id="21" w:name="bookmark21"/>
      <w:bookmarkEnd w:id="21"/>
      <w:r>
        <w:rPr>
          <w:color w:val="000000"/>
          <w:spacing w:val="0"/>
          <w:w w:val="100"/>
          <w:position w:val="0"/>
          <w:shd w:val="clear" w:color="auto" w:fill="auto"/>
          <w:lang w:val="cs-CZ" w:eastAsia="cs-CZ" w:bidi="cs-CZ"/>
        </w:rPr>
        <w:t>Cena za 7 ks bójí je stanovena ve výši 6.000 Kč/rok + DPH. Nájemce se zavazuje uhradit i nájemné za umístění bójek a mola v období:</w:t>
      </w:r>
    </w:p>
    <w:p>
      <w:pPr>
        <w:pStyle w:val="Style2"/>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 xml:space="preserve">1. 1. 2021 – 31. 12. 2021 ve výši 6.000/bójky, 1.500 Kč/molo, </w:t>
      </w:r>
      <w:r>
        <w:rPr>
          <w:b/>
          <w:bCs/>
          <w:color w:val="000000"/>
          <w:spacing w:val="0"/>
          <w:w w:val="100"/>
          <w:position w:val="0"/>
          <w:shd w:val="clear" w:color="auto" w:fill="auto"/>
          <w:lang w:val="cs-CZ" w:eastAsia="cs-CZ" w:bidi="cs-CZ"/>
        </w:rPr>
        <w:t>celkem 7.500 Kč + DPH</w:t>
      </w:r>
    </w:p>
    <w:p>
      <w:pPr>
        <w:pStyle w:val="Style2"/>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 xml:space="preserve">1. 1. 2022 – 31. 12. 2022 ve výši 6.000/bójky, 1.500 Kč/molo, </w:t>
      </w:r>
      <w:r>
        <w:rPr>
          <w:b/>
          <w:bCs/>
          <w:color w:val="000000"/>
          <w:spacing w:val="0"/>
          <w:w w:val="100"/>
          <w:position w:val="0"/>
          <w:shd w:val="clear" w:color="auto" w:fill="auto"/>
          <w:lang w:val="cs-CZ" w:eastAsia="cs-CZ" w:bidi="cs-CZ"/>
        </w:rPr>
        <w:t>celkem 7.500 Kč + DPH</w:t>
      </w:r>
    </w:p>
    <w:p>
      <w:pPr>
        <w:pStyle w:val="Style2"/>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 xml:space="preserve">1. 1. 2023 – 31. 12. 2023 ve výši 6.000/bójky, 1.500 Kč/molo, </w:t>
      </w:r>
      <w:r>
        <w:rPr>
          <w:b/>
          <w:bCs/>
          <w:color w:val="000000"/>
          <w:spacing w:val="0"/>
          <w:w w:val="100"/>
          <w:position w:val="0"/>
          <w:shd w:val="clear" w:color="auto" w:fill="auto"/>
          <w:lang w:val="cs-CZ" w:eastAsia="cs-CZ" w:bidi="cs-CZ"/>
        </w:rPr>
        <w:t>celkem 7.500Kč + DPH</w:t>
      </w:r>
    </w:p>
    <w:p>
      <w:pPr>
        <w:pStyle w:val="Style2"/>
        <w:keepNext w:val="0"/>
        <w:keepLines w:val="0"/>
        <w:widowControl w:val="0"/>
        <w:numPr>
          <w:ilvl w:val="0"/>
          <w:numId w:val="9"/>
        </w:numPr>
        <w:shd w:val="clear" w:color="auto" w:fill="auto"/>
        <w:tabs>
          <w:tab w:pos="364" w:val="left"/>
        </w:tabs>
        <w:bidi w:val="0"/>
        <w:spacing w:before="0" w:after="0" w:line="240" w:lineRule="auto"/>
        <w:ind w:left="440" w:right="0" w:hanging="440"/>
        <w:jc w:val="both"/>
      </w:pPr>
      <w:bookmarkStart w:id="22" w:name="bookmark22"/>
      <w:bookmarkEnd w:id="22"/>
      <w:r>
        <w:rPr>
          <w:color w:val="000000"/>
          <w:spacing w:val="0"/>
          <w:w w:val="100"/>
          <w:position w:val="0"/>
          <w:shd w:val="clear" w:color="auto" w:fill="auto"/>
          <w:lang w:val="cs-CZ" w:eastAsia="cs-CZ" w:bidi="cs-CZ"/>
        </w:rPr>
        <w:t xml:space="preserve">Celková částka ve výši </w:t>
      </w:r>
      <w:r>
        <w:rPr>
          <w:b/>
          <w:bCs/>
          <w:color w:val="000000"/>
          <w:spacing w:val="0"/>
          <w:w w:val="100"/>
          <w:position w:val="0"/>
          <w:shd w:val="clear" w:color="auto" w:fill="auto"/>
          <w:lang w:val="cs-CZ" w:eastAsia="cs-CZ" w:bidi="cs-CZ"/>
        </w:rPr>
        <w:t xml:space="preserve">30.000 Kč + DPH </w:t>
      </w:r>
      <w:r>
        <w:rPr>
          <w:color w:val="000000"/>
          <w:spacing w:val="0"/>
          <w:w w:val="100"/>
          <w:position w:val="0"/>
          <w:shd w:val="clear" w:color="auto" w:fill="auto"/>
          <w:lang w:val="cs-CZ" w:eastAsia="cs-CZ" w:bidi="cs-CZ"/>
        </w:rPr>
        <w:t>(nájemné za molo a bójky za rok 2024 a náhrada za období od 1. 1. 2021 – 31. 12. 2023) bude hrazena jednou splátkou na základě daňového dokladu vystaveného do 15 dnů ode dne uskutečnění zdanitelného plnění se splatností 14 dnů od data vystavení. Den uskutečnění zdanitelného plnění je stanoven na den oboustranného podpisu smlouvy.</w:t>
      </w:r>
    </w:p>
    <w:p>
      <w:pPr>
        <w:pStyle w:val="Style2"/>
        <w:keepNext w:val="0"/>
        <w:keepLines w:val="0"/>
        <w:widowControl w:val="0"/>
        <w:numPr>
          <w:ilvl w:val="0"/>
          <w:numId w:val="9"/>
        </w:numPr>
        <w:shd w:val="clear" w:color="auto" w:fill="auto"/>
        <w:tabs>
          <w:tab w:pos="364" w:val="left"/>
        </w:tabs>
        <w:bidi w:val="0"/>
        <w:spacing w:before="0" w:after="0" w:line="240" w:lineRule="auto"/>
        <w:ind w:left="440" w:right="0" w:hanging="440"/>
        <w:jc w:val="both"/>
      </w:pPr>
      <w:bookmarkStart w:id="23" w:name="bookmark23"/>
      <w:bookmarkEnd w:id="23"/>
      <w:r>
        <w:rPr>
          <w:color w:val="000000"/>
          <w:spacing w:val="0"/>
          <w:w w:val="100"/>
          <w:position w:val="0"/>
          <w:shd w:val="clear" w:color="auto" w:fill="auto"/>
          <w:lang w:val="cs-CZ" w:eastAsia="cs-CZ" w:bidi="cs-CZ"/>
        </w:rPr>
        <w:t>Roční cena nájmu bude uhrazena jednou splátkou na základě daňového dokladu vystaveného do 15 dnů ode dne uskutečnění zdanitelného plnění se splatností 14 dnů od data vystavení. Úhradu provede nájemce převodem na účet pronajímatele</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9"/>
        </w:numPr>
        <w:shd w:val="clear" w:color="auto" w:fill="auto"/>
        <w:tabs>
          <w:tab w:pos="364" w:val="left"/>
        </w:tabs>
        <w:bidi w:val="0"/>
        <w:spacing w:before="0" w:after="0" w:line="240" w:lineRule="auto"/>
        <w:ind w:left="440" w:right="0" w:hanging="440"/>
        <w:jc w:val="both"/>
      </w:pPr>
      <w:bookmarkStart w:id="24" w:name="bookmark24"/>
      <w:bookmarkEnd w:id="24"/>
      <w:r>
        <w:rPr>
          <w:color w:val="000000"/>
          <w:spacing w:val="0"/>
          <w:w w:val="100"/>
          <w:position w:val="0"/>
          <w:shd w:val="clear" w:color="auto" w:fill="auto"/>
          <w:lang w:val="cs-CZ" w:eastAsia="cs-CZ" w:bidi="cs-CZ"/>
        </w:rPr>
        <w:t>Datum uskutečnění zdanitelného a osvobozeného plnění je pro rok 2024 stanoven na den podpisu dodatku.</w:t>
      </w:r>
    </w:p>
    <w:p>
      <w:pPr>
        <w:pStyle w:val="Style2"/>
        <w:keepNext w:val="0"/>
        <w:keepLines w:val="0"/>
        <w:widowControl w:val="0"/>
        <w:numPr>
          <w:ilvl w:val="0"/>
          <w:numId w:val="9"/>
        </w:numPr>
        <w:shd w:val="clear" w:color="auto" w:fill="auto"/>
        <w:tabs>
          <w:tab w:pos="364" w:val="left"/>
        </w:tabs>
        <w:bidi w:val="0"/>
        <w:spacing w:before="0" w:after="0" w:line="240" w:lineRule="auto"/>
        <w:ind w:left="440" w:right="0" w:hanging="440"/>
        <w:jc w:val="both"/>
      </w:pPr>
      <w:bookmarkStart w:id="25" w:name="bookmark25"/>
      <w:bookmarkEnd w:id="25"/>
      <w:r>
        <w:rPr>
          <w:color w:val="000000"/>
          <w:spacing w:val="0"/>
          <w:w w:val="100"/>
          <w:position w:val="0"/>
          <w:shd w:val="clear" w:color="auto" w:fill="auto"/>
          <w:lang w:val="cs-CZ" w:eastAsia="cs-CZ" w:bidi="cs-CZ"/>
        </w:rPr>
        <w:t>Datum uskutečnění zdanitelného a osvobozeného plnění je po zbývající dobu platnosti smlouvy stanoven na 30. dubna 2025.</w:t>
      </w:r>
    </w:p>
    <w:p>
      <w:pPr>
        <w:pStyle w:val="Style2"/>
        <w:keepNext w:val="0"/>
        <w:keepLines w:val="0"/>
        <w:widowControl w:val="0"/>
        <w:numPr>
          <w:ilvl w:val="0"/>
          <w:numId w:val="9"/>
        </w:numPr>
        <w:shd w:val="clear" w:color="auto" w:fill="auto"/>
        <w:tabs>
          <w:tab w:pos="478" w:val="left"/>
        </w:tabs>
        <w:bidi w:val="0"/>
        <w:spacing w:before="0" w:after="180" w:line="240" w:lineRule="auto"/>
        <w:ind w:left="440" w:right="0" w:hanging="440"/>
        <w:jc w:val="both"/>
      </w:pPr>
      <w:bookmarkStart w:id="26" w:name="bookmark26"/>
      <w:bookmarkEnd w:id="26"/>
      <w:r>
        <w:rPr>
          <w:color w:val="000000"/>
          <w:spacing w:val="0"/>
          <w:w w:val="100"/>
          <w:position w:val="0"/>
          <w:shd w:val="clear" w:color="auto" w:fill="auto"/>
          <w:lang w:val="cs-CZ" w:eastAsia="cs-CZ" w:bidi="cs-CZ"/>
        </w:rPr>
        <w:t>Neuhradí-li nájemce cenu ročního nájemného ve lhůtě splatnosti, bude mu účtován úrok z prodlení ve výši 0,1 % z částky včas nezaplacené za každý den prodlení.</w:t>
      </w:r>
    </w:p>
    <w:p>
      <w:pPr>
        <w:pStyle w:val="Style9"/>
        <w:keepNext/>
        <w:keepLines/>
        <w:widowControl w:val="0"/>
        <w:numPr>
          <w:ilvl w:val="0"/>
          <w:numId w:val="1"/>
        </w:numPr>
        <w:shd w:val="clear" w:color="auto" w:fill="auto"/>
        <w:tabs>
          <w:tab w:pos="364" w:val="left"/>
        </w:tabs>
        <w:bidi w:val="0"/>
        <w:spacing w:before="0" w:after="0" w:line="240" w:lineRule="auto"/>
        <w:ind w:left="0" w:right="0" w:firstLine="0"/>
        <w:jc w:val="center"/>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ZÁVĚREČNÁ USTANOVENÍ</w:t>
      </w:r>
      <w:bookmarkEnd w:id="27"/>
      <w:bookmarkEnd w:id="28"/>
      <w:bookmarkEnd w:id="30"/>
    </w:p>
    <w:p>
      <w:pPr>
        <w:pStyle w:val="Style2"/>
        <w:keepNext w:val="0"/>
        <w:keepLines w:val="0"/>
        <w:widowControl w:val="0"/>
        <w:numPr>
          <w:ilvl w:val="0"/>
          <w:numId w:val="11"/>
        </w:numPr>
        <w:shd w:val="clear" w:color="auto" w:fill="auto"/>
        <w:tabs>
          <w:tab w:pos="368" w:val="left"/>
        </w:tabs>
        <w:bidi w:val="0"/>
        <w:spacing w:before="0" w:after="0" w:line="240" w:lineRule="auto"/>
        <w:ind w:left="0" w:right="0" w:firstLine="0"/>
        <w:jc w:val="left"/>
      </w:pPr>
      <w:bookmarkStart w:id="31" w:name="bookmark31"/>
      <w:bookmarkEnd w:id="31"/>
      <w:r>
        <w:rPr>
          <w:color w:val="000000"/>
          <w:spacing w:val="0"/>
          <w:w w:val="100"/>
          <w:position w:val="0"/>
          <w:shd w:val="clear" w:color="auto" w:fill="auto"/>
          <w:lang w:val="cs-CZ" w:eastAsia="cs-CZ" w:bidi="cs-CZ"/>
        </w:rPr>
        <w:t>Tento dodatek je vyhotoven 4x, nájemce si ponechá 1 vyhotovení a pronajímatel 3 vyhotovení.</w:t>
      </w:r>
    </w:p>
    <w:p>
      <w:pPr>
        <w:pStyle w:val="Style2"/>
        <w:keepNext w:val="0"/>
        <w:keepLines w:val="0"/>
        <w:widowControl w:val="0"/>
        <w:numPr>
          <w:ilvl w:val="0"/>
          <w:numId w:val="11"/>
        </w:numPr>
        <w:shd w:val="clear" w:color="auto" w:fill="auto"/>
        <w:tabs>
          <w:tab w:pos="368" w:val="left"/>
        </w:tabs>
        <w:bidi w:val="0"/>
        <w:spacing w:before="0" w:after="0" w:line="240" w:lineRule="auto"/>
        <w:ind w:left="440" w:right="0" w:hanging="440"/>
        <w:jc w:val="both"/>
      </w:pPr>
      <w:bookmarkStart w:id="32" w:name="bookmark32"/>
      <w:bookmarkEnd w:id="32"/>
      <w:r>
        <w:rPr>
          <w:color w:val="000000"/>
          <w:spacing w:val="0"/>
          <w:w w:val="100"/>
          <w:position w:val="0"/>
          <w:shd w:val="clear" w:color="auto" w:fill="auto"/>
          <w:lang w:val="cs-CZ" w:eastAsia="cs-CZ" w:bidi="cs-CZ"/>
        </w:rPr>
        <w:t>Dodatek č. 1 k nájemní smlouvě č. 301/2021 uzavřené dne 17. 5. 2021 nabývá platnosti dnem podpisu oběma smluvními stranami a účinnosti dnem uveřejněním v registru smluv.</w:t>
      </w:r>
    </w:p>
    <w:p>
      <w:pPr>
        <w:pStyle w:val="Style2"/>
        <w:keepNext w:val="0"/>
        <w:keepLines w:val="0"/>
        <w:widowControl w:val="0"/>
        <w:numPr>
          <w:ilvl w:val="0"/>
          <w:numId w:val="11"/>
        </w:numPr>
        <w:shd w:val="clear" w:color="auto" w:fill="auto"/>
        <w:tabs>
          <w:tab w:pos="368" w:val="left"/>
        </w:tabs>
        <w:bidi w:val="0"/>
        <w:spacing w:before="0" w:after="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Dle ustanovení čl. 6, odst. 6, bodu 7 statutu Povodí Ohře, státního podniku, v platném znění není k tomuto dodatku nutný písemný souhlas zakladatele Povodí Ohře, státního podniku, tj. Ministerstva zemědělství ČR.</w:t>
      </w:r>
    </w:p>
    <w:p>
      <w:pPr>
        <w:pStyle w:val="Style2"/>
        <w:keepNext w:val="0"/>
        <w:keepLines w:val="0"/>
        <w:widowControl w:val="0"/>
        <w:numPr>
          <w:ilvl w:val="0"/>
          <w:numId w:val="11"/>
        </w:numPr>
        <w:shd w:val="clear" w:color="auto" w:fill="auto"/>
        <w:tabs>
          <w:tab w:pos="368" w:val="left"/>
        </w:tabs>
        <w:bidi w:val="0"/>
        <w:spacing w:before="0" w:after="0" w:line="240" w:lineRule="auto"/>
        <w:ind w:left="440" w:right="0" w:hanging="440"/>
        <w:jc w:val="both"/>
      </w:pPr>
      <w:bookmarkStart w:id="34" w:name="bookmark34"/>
      <w:bookmarkEnd w:id="34"/>
      <w:r>
        <w:rPr>
          <w:color w:val="000000"/>
          <w:spacing w:val="0"/>
          <w:w w:val="100"/>
          <w:position w:val="0"/>
          <w:shd w:val="clear" w:color="auto" w:fill="auto"/>
          <w:lang w:val="cs-CZ" w:eastAsia="cs-CZ" w:bidi="cs-CZ"/>
        </w:rPr>
        <w:t>Smluvní strany berou na vědomí, že Povodí Ohře, státní podnik, je povinen zveřejnit obraz dodatku včetně metadat požadovaných k uveřejnění dle zákona č. 340/2015 Sb. o registru smluv. Zveřejnění dodatku a metadat v registru smluv zajistí Povodí Ohře, státní podnik, který má právo tento dodatek zveřejnit rovněž v pochybnostech o tom, zda tento dodatek zveřejnění podléhá či nikoliv.</w:t>
      </w:r>
    </w:p>
    <w:p>
      <w:pPr>
        <w:pStyle w:val="Style2"/>
        <w:keepNext w:val="0"/>
        <w:keepLines w:val="0"/>
        <w:widowControl w:val="0"/>
        <w:numPr>
          <w:ilvl w:val="0"/>
          <w:numId w:val="11"/>
        </w:numPr>
        <w:shd w:val="clear" w:color="auto" w:fill="auto"/>
        <w:tabs>
          <w:tab w:pos="368" w:val="left"/>
        </w:tabs>
        <w:bidi w:val="0"/>
        <w:spacing w:before="0" w:after="0" w:line="240" w:lineRule="auto"/>
        <w:ind w:left="440" w:right="0" w:hanging="440"/>
        <w:jc w:val="both"/>
      </w:pPr>
      <w:bookmarkStart w:id="35" w:name="bookmark35"/>
      <w:bookmarkEnd w:id="35"/>
      <w:r>
        <w:rPr>
          <w:color w:val="000000"/>
          <w:spacing w:val="0"/>
          <w:w w:val="100"/>
          <w:position w:val="0"/>
          <w:shd w:val="clear" w:color="auto" w:fill="auto"/>
          <w:lang w:val="cs-CZ" w:eastAsia="cs-CZ" w:bidi="cs-CZ"/>
        </w:rPr>
        <w:t>Tento dodatek je sepsán dle příslušných ustanovení občanského zákoníku včetně předpisů souvisejících.</w:t>
      </w:r>
    </w:p>
    <w:p>
      <w:pPr>
        <w:pStyle w:val="Style2"/>
        <w:keepNext w:val="0"/>
        <w:keepLines w:val="0"/>
        <w:widowControl w:val="0"/>
        <w:numPr>
          <w:ilvl w:val="0"/>
          <w:numId w:val="11"/>
        </w:numPr>
        <w:shd w:val="clear" w:color="auto" w:fill="auto"/>
        <w:tabs>
          <w:tab w:pos="368" w:val="left"/>
        </w:tabs>
        <w:bidi w:val="0"/>
        <w:spacing w:before="0" w:after="0" w:line="240" w:lineRule="auto"/>
        <w:ind w:left="0" w:right="0" w:firstLine="0"/>
        <w:jc w:val="left"/>
      </w:pPr>
      <w:bookmarkStart w:id="36" w:name="bookmark36"/>
      <w:bookmarkEnd w:id="36"/>
      <w:r>
        <w:rPr>
          <w:color w:val="000000"/>
          <w:spacing w:val="0"/>
          <w:w w:val="100"/>
          <w:position w:val="0"/>
          <w:shd w:val="clear" w:color="auto" w:fill="auto"/>
          <w:lang w:val="cs-CZ" w:eastAsia="cs-CZ" w:bidi="cs-CZ"/>
        </w:rPr>
        <w:t>Smluvní strany nepovažují žádné ustanovení tohoto dodatku za obchodní tajemství.</w:t>
      </w:r>
    </w:p>
    <w:p>
      <w:pPr>
        <w:pStyle w:val="Style2"/>
        <w:keepNext w:val="0"/>
        <w:keepLines w:val="0"/>
        <w:widowControl w:val="0"/>
        <w:numPr>
          <w:ilvl w:val="0"/>
          <w:numId w:val="11"/>
        </w:numPr>
        <w:shd w:val="clear" w:color="auto" w:fill="auto"/>
        <w:tabs>
          <w:tab w:pos="368" w:val="left"/>
        </w:tabs>
        <w:bidi w:val="0"/>
        <w:spacing w:before="0" w:after="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Smluvní strany prohlašují, že tento dodatek odpovídá jejich pravé a svobodné vůli, seznámily se s jeho obsahem a na důkaz svého souhlasu ji podepisují.</w:t>
      </w:r>
    </w:p>
    <w:p>
      <w:pPr>
        <w:pStyle w:val="Style2"/>
        <w:keepNext w:val="0"/>
        <w:keepLines w:val="0"/>
        <w:widowControl w:val="0"/>
        <w:numPr>
          <w:ilvl w:val="0"/>
          <w:numId w:val="11"/>
        </w:numPr>
        <w:shd w:val="clear" w:color="auto" w:fill="auto"/>
        <w:tabs>
          <w:tab w:pos="368" w:val="left"/>
        </w:tabs>
        <w:bidi w:val="0"/>
        <w:spacing w:before="0" w:after="180" w:line="240" w:lineRule="auto"/>
        <w:ind w:left="0" w:right="0" w:firstLine="0"/>
        <w:jc w:val="left"/>
      </w:pPr>
      <w:bookmarkStart w:id="38" w:name="bookmark38"/>
      <w:bookmarkEnd w:id="38"/>
      <w:r>
        <w:rPr>
          <w:color w:val="000000"/>
          <w:spacing w:val="0"/>
          <w:w w:val="100"/>
          <w:position w:val="0"/>
          <w:shd w:val="clear" w:color="auto" w:fill="auto"/>
          <w:lang w:val="cs-CZ" w:eastAsia="cs-CZ" w:bidi="cs-CZ"/>
        </w:rPr>
        <w:t>Ostatní ustanovení Nájemní smlouvy č. 301/2021 zůstávají nezměněna.</w:t>
      </w:r>
    </w:p>
    <w:p>
      <w:pPr>
        <w:pStyle w:val="Style2"/>
        <w:keepNext w:val="0"/>
        <w:keepLines w:val="0"/>
        <w:widowControl w:val="0"/>
        <w:shd w:val="clear" w:color="auto" w:fill="auto"/>
        <w:tabs>
          <w:tab w:pos="5013" w:val="left"/>
        </w:tabs>
        <w:bidi w:val="0"/>
        <w:spacing w:before="0" w:after="180" w:line="240" w:lineRule="auto"/>
        <w:ind w:left="0" w:right="0" w:firstLine="0"/>
        <w:jc w:val="left"/>
      </w:pPr>
      <w:r>
        <w:rPr>
          <w:color w:val="000000"/>
          <w:spacing w:val="0"/>
          <w:w w:val="100"/>
          <w:position w:val="0"/>
          <w:shd w:val="clear" w:color="auto" w:fill="auto"/>
          <w:lang w:val="cs-CZ" w:eastAsia="cs-CZ" w:bidi="cs-CZ"/>
        </w:rPr>
        <w:t>Za nájemce:</w:t>
        <w:tab/>
        <w:t>Za pronajímatele:</w:t>
      </w:r>
    </w:p>
    <w:p>
      <w:pPr>
        <w:pStyle w:val="Style2"/>
        <w:keepNext w:val="0"/>
        <w:keepLines w:val="0"/>
        <w:widowControl w:val="0"/>
        <w:numPr>
          <w:ilvl w:val="0"/>
          <w:numId w:val="7"/>
        </w:numPr>
        <w:shd w:val="clear" w:color="auto" w:fill="auto"/>
        <w:tabs>
          <w:tab w:pos="364" w:val="left"/>
          <w:tab w:pos="3163" w:val="left"/>
          <w:tab w:pos="5013" w:val="left"/>
          <w:tab w:pos="8299" w:val="left"/>
        </w:tabs>
        <w:bidi w:val="0"/>
        <w:spacing w:before="0" w:after="640" w:line="240" w:lineRule="auto"/>
        <w:ind w:left="0" w:right="0" w:firstLine="0"/>
        <w:jc w:val="left"/>
      </w:pPr>
      <w:bookmarkStart w:id="39" w:name="bookmark39"/>
      <w:bookmarkEnd w:id="39"/>
      <w:r>
        <w:rPr>
          <w:color w:val="000000"/>
          <w:spacing w:val="0"/>
          <w:w w:val="100"/>
          <w:position w:val="0"/>
          <w:shd w:val="clear" w:color="auto" w:fill="auto"/>
          <w:lang w:val="cs-CZ" w:eastAsia="cs-CZ" w:bidi="cs-CZ"/>
        </w:rPr>
        <w:t xml:space="preserve">………………, dne: </w:t>
      </w:r>
      <w:r>
        <w:rPr>
          <w:u w:val="single"/>
        </w:rPr>
        <w:t xml:space="preserve"> </w:t>
        <w:tab/>
      </w:r>
      <w:r>
        <w:rPr>
          <w:color w:val="000000"/>
          <w:spacing w:val="0"/>
          <w:w w:val="100"/>
          <w:position w:val="0"/>
          <w:shd w:val="clear" w:color="auto" w:fill="auto"/>
          <w:lang w:val="cs-CZ" w:eastAsia="cs-CZ" w:bidi="cs-CZ"/>
        </w:rPr>
        <w:tab/>
        <w:t xml:space="preserve">V Chomutově, dne: </w:t>
      </w:r>
      <w:r>
        <w:rPr>
          <w:u w:val="single"/>
        </w:rPr>
        <w:t xml:space="preserve"> </w:t>
        <w:tab/>
      </w:r>
    </w:p>
    <w:p>
      <w:pPr>
        <w:pStyle w:val="Style2"/>
        <w:keepNext w:val="0"/>
        <w:keepLines w:val="0"/>
        <w:widowControl w:val="0"/>
        <w:shd w:val="clear" w:color="auto" w:fill="auto"/>
        <w:tabs>
          <w:tab w:pos="5013" w:val="left"/>
        </w:tabs>
        <w:bidi w:val="0"/>
        <w:spacing w:before="0" w:after="180" w:line="240" w:lineRule="auto"/>
        <w:ind w:left="0" w:right="0" w:firstLine="0"/>
        <w:jc w:val="left"/>
      </w:pPr>
      <w:r>
        <w:rPr>
          <w:color w:val="000000"/>
          <w:spacing w:val="0"/>
          <w:w w:val="100"/>
          <w:position w:val="0"/>
          <w:shd w:val="clear" w:color="auto" w:fill="auto"/>
          <w:lang w:val="cs-CZ" w:eastAsia="cs-CZ" w:bidi="cs-CZ"/>
        </w:rPr>
        <w:t>………………………………………..</w:t>
        <w:tab/>
        <w:t>…………………………………………..</w:t>
      </w:r>
    </w:p>
    <w:sectPr>
      <w:footerReference w:type="default" r:id="rId5"/>
      <w:footnotePr>
        <w:pos w:val="pageBottom"/>
        <w:numFmt w:val="decimal"/>
        <w:numRestart w:val="continuous"/>
      </w:footnotePr>
      <w:pgSz w:w="11909" w:h="16834"/>
      <w:pgMar w:top="1266" w:left="1412" w:right="1410" w:bottom="1793" w:header="838"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6585585</wp:posOffset>
              </wp:positionH>
              <wp:positionV relativeFrom="page">
                <wp:posOffset>9614535</wp:posOffset>
              </wp:positionV>
              <wp:extent cx="64135" cy="170815"/>
              <wp:wrapNone/>
              <wp:docPr id="1" name="Shape 1"/>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18.54999999999995pt;margin-top:757.05000000000007pt;width:5.04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outlineLvl w:val="0"/>
    </w:pPr>
    <w:rPr>
      <w:rFonts w:ascii="Arial" w:eastAsia="Arial" w:hAnsi="Arial" w:cs="Arial"/>
      <w:b/>
      <w:bCs/>
      <w:i w:val="0"/>
      <w:iCs w:val="0"/>
      <w:smallCaps w:val="0"/>
      <w:strike w:val="0"/>
      <w:sz w:val="20"/>
      <w:szCs w:val="20"/>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D O D A T E K     č</dc:title>
  <dc:subject/>
  <dc:creator>Povodí Ohře a.s.</dc:creator>
  <cp:keywords/>
</cp:coreProperties>
</file>