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BFE5DF" w14:textId="77777777" w:rsidR="00DA61B0" w:rsidRDefault="001D14DA">
      <w:pPr>
        <w:spacing w:after="0" w:line="265" w:lineRule="auto"/>
        <w:ind w:right="-15"/>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2350891" wp14:editId="079689A2">
                <wp:simplePos x="0" y="0"/>
                <wp:positionH relativeFrom="column">
                  <wp:posOffset>4</wp:posOffset>
                </wp:positionH>
                <wp:positionV relativeFrom="paragraph">
                  <wp:posOffset>-37645</wp:posOffset>
                </wp:positionV>
                <wp:extent cx="1889994" cy="341903"/>
                <wp:effectExtent l="0" t="0" r="0" b="0"/>
                <wp:wrapSquare wrapText="bothSides"/>
                <wp:docPr id="7242" name="Group 7242"/>
                <wp:cNvGraphicFramePr/>
                <a:graphic xmlns:a="http://schemas.openxmlformats.org/drawingml/2006/main">
                  <a:graphicData uri="http://schemas.microsoft.com/office/word/2010/wordprocessingGroup">
                    <wpg:wgp>
                      <wpg:cNvGrpSpPr/>
                      <wpg:grpSpPr>
                        <a:xfrm>
                          <a:off x="0" y="0"/>
                          <a:ext cx="1889994" cy="341903"/>
                          <a:chOff x="0" y="0"/>
                          <a:chExt cx="1889994" cy="341903"/>
                        </a:xfrm>
                      </wpg:grpSpPr>
                      <wps:wsp>
                        <wps:cNvPr id="80" name="Shape 80"/>
                        <wps:cNvSpPr/>
                        <wps:spPr>
                          <a:xfrm>
                            <a:off x="657520" y="64363"/>
                            <a:ext cx="237477" cy="275120"/>
                          </a:xfrm>
                          <a:custGeom>
                            <a:avLst/>
                            <a:gdLst/>
                            <a:ahLst/>
                            <a:cxnLst/>
                            <a:rect l="0" t="0" r="0" b="0"/>
                            <a:pathLst>
                              <a:path w="237477" h="275120">
                                <a:moveTo>
                                  <a:pt x="0" y="0"/>
                                </a:moveTo>
                                <a:lnTo>
                                  <a:pt x="50622" y="0"/>
                                </a:lnTo>
                                <a:lnTo>
                                  <a:pt x="50622" y="149225"/>
                                </a:lnTo>
                                <a:cubicBezTo>
                                  <a:pt x="50622" y="198501"/>
                                  <a:pt x="80086" y="228041"/>
                                  <a:pt x="118745" y="228041"/>
                                </a:cubicBezTo>
                                <a:cubicBezTo>
                                  <a:pt x="157836" y="228041"/>
                                  <a:pt x="186855" y="198501"/>
                                  <a:pt x="186855" y="149225"/>
                                </a:cubicBezTo>
                                <a:lnTo>
                                  <a:pt x="186855" y="0"/>
                                </a:lnTo>
                                <a:lnTo>
                                  <a:pt x="237477" y="0"/>
                                </a:lnTo>
                                <a:lnTo>
                                  <a:pt x="237477" y="159944"/>
                                </a:lnTo>
                                <a:cubicBezTo>
                                  <a:pt x="237477" y="222047"/>
                                  <a:pt x="190906" y="275120"/>
                                  <a:pt x="118745" y="275120"/>
                                </a:cubicBezTo>
                                <a:cubicBezTo>
                                  <a:pt x="46571" y="275120"/>
                                  <a:pt x="0" y="222047"/>
                                  <a:pt x="0" y="159944"/>
                                </a:cubicBezTo>
                                <a:lnTo>
                                  <a:pt x="0" y="0"/>
                                </a:lnTo>
                                <a:close/>
                              </a:path>
                            </a:pathLst>
                          </a:custGeom>
                          <a:ln w="0" cap="flat">
                            <a:miter lim="127000"/>
                          </a:ln>
                        </wps:spPr>
                        <wps:style>
                          <a:lnRef idx="0">
                            <a:srgbClr val="000000">
                              <a:alpha val="0"/>
                            </a:srgbClr>
                          </a:lnRef>
                          <a:fillRef idx="1">
                            <a:srgbClr val="005CA9"/>
                          </a:fillRef>
                          <a:effectRef idx="0">
                            <a:scrgbClr r="0" g="0" b="0"/>
                          </a:effectRef>
                          <a:fontRef idx="none"/>
                        </wps:style>
                        <wps:bodyPr/>
                      </wps:wsp>
                      <wps:wsp>
                        <wps:cNvPr id="81" name="Shape 81"/>
                        <wps:cNvSpPr/>
                        <wps:spPr>
                          <a:xfrm>
                            <a:off x="951641" y="64372"/>
                            <a:ext cx="224396" cy="269329"/>
                          </a:xfrm>
                          <a:custGeom>
                            <a:avLst/>
                            <a:gdLst/>
                            <a:ahLst/>
                            <a:cxnLst/>
                            <a:rect l="0" t="0" r="0" b="0"/>
                            <a:pathLst>
                              <a:path w="224396" h="269329">
                                <a:moveTo>
                                  <a:pt x="0" y="0"/>
                                </a:moveTo>
                                <a:lnTo>
                                  <a:pt x="27356" y="0"/>
                                </a:lnTo>
                                <a:lnTo>
                                  <a:pt x="174307" y="168046"/>
                                </a:lnTo>
                                <a:lnTo>
                                  <a:pt x="174307" y="0"/>
                                </a:lnTo>
                                <a:lnTo>
                                  <a:pt x="224396" y="0"/>
                                </a:lnTo>
                                <a:lnTo>
                                  <a:pt x="224396" y="269329"/>
                                </a:lnTo>
                                <a:lnTo>
                                  <a:pt x="196736" y="269329"/>
                                </a:lnTo>
                                <a:lnTo>
                                  <a:pt x="50076" y="101524"/>
                                </a:lnTo>
                                <a:lnTo>
                                  <a:pt x="50076" y="268872"/>
                                </a:lnTo>
                                <a:lnTo>
                                  <a:pt x="0" y="268872"/>
                                </a:lnTo>
                                <a:lnTo>
                                  <a:pt x="0" y="0"/>
                                </a:lnTo>
                                <a:close/>
                              </a:path>
                            </a:pathLst>
                          </a:custGeom>
                          <a:ln w="0" cap="flat">
                            <a:miter lim="127000"/>
                          </a:ln>
                        </wps:spPr>
                        <wps:style>
                          <a:lnRef idx="0">
                            <a:srgbClr val="000000">
                              <a:alpha val="0"/>
                            </a:srgbClr>
                          </a:lnRef>
                          <a:fillRef idx="1">
                            <a:srgbClr val="005CA9"/>
                          </a:fillRef>
                          <a:effectRef idx="0">
                            <a:scrgbClr r="0" g="0" b="0"/>
                          </a:effectRef>
                          <a:fontRef idx="none"/>
                        </wps:style>
                        <wps:bodyPr/>
                      </wps:wsp>
                      <wps:wsp>
                        <wps:cNvPr id="10246" name="Shape 10246"/>
                        <wps:cNvSpPr/>
                        <wps:spPr>
                          <a:xfrm>
                            <a:off x="1235956" y="64363"/>
                            <a:ext cx="51968" cy="268872"/>
                          </a:xfrm>
                          <a:custGeom>
                            <a:avLst/>
                            <a:gdLst/>
                            <a:ahLst/>
                            <a:cxnLst/>
                            <a:rect l="0" t="0" r="0" b="0"/>
                            <a:pathLst>
                              <a:path w="51968" h="268872">
                                <a:moveTo>
                                  <a:pt x="0" y="0"/>
                                </a:moveTo>
                                <a:lnTo>
                                  <a:pt x="51968" y="0"/>
                                </a:lnTo>
                                <a:lnTo>
                                  <a:pt x="51968" y="268872"/>
                                </a:lnTo>
                                <a:lnTo>
                                  <a:pt x="0" y="268872"/>
                                </a:lnTo>
                                <a:lnTo>
                                  <a:pt x="0" y="0"/>
                                </a:lnTo>
                              </a:path>
                            </a:pathLst>
                          </a:custGeom>
                          <a:ln w="0" cap="flat">
                            <a:miter lim="127000"/>
                          </a:ln>
                        </wps:spPr>
                        <wps:style>
                          <a:lnRef idx="0">
                            <a:srgbClr val="000000">
                              <a:alpha val="0"/>
                            </a:srgbClr>
                          </a:lnRef>
                          <a:fillRef idx="1">
                            <a:srgbClr val="005CA9"/>
                          </a:fillRef>
                          <a:effectRef idx="0">
                            <a:scrgbClr r="0" g="0" b="0"/>
                          </a:effectRef>
                          <a:fontRef idx="none"/>
                        </wps:style>
                        <wps:bodyPr/>
                      </wps:wsp>
                      <wps:wsp>
                        <wps:cNvPr id="83" name="Shape 83"/>
                        <wps:cNvSpPr/>
                        <wps:spPr>
                          <a:xfrm>
                            <a:off x="1332361" y="55735"/>
                            <a:ext cx="144475" cy="286167"/>
                          </a:xfrm>
                          <a:custGeom>
                            <a:avLst/>
                            <a:gdLst/>
                            <a:ahLst/>
                            <a:cxnLst/>
                            <a:rect l="0" t="0" r="0" b="0"/>
                            <a:pathLst>
                              <a:path w="144475" h="286167">
                                <a:moveTo>
                                  <a:pt x="144475" y="0"/>
                                </a:moveTo>
                                <a:lnTo>
                                  <a:pt x="144475" y="44909"/>
                                </a:lnTo>
                                <a:lnTo>
                                  <a:pt x="107956" y="52619"/>
                                </a:lnTo>
                                <a:cubicBezTo>
                                  <a:pt x="74268" y="67520"/>
                                  <a:pt x="50622" y="102405"/>
                                  <a:pt x="50622" y="143077"/>
                                </a:cubicBezTo>
                                <a:cubicBezTo>
                                  <a:pt x="50622" y="183730"/>
                                  <a:pt x="74268" y="218617"/>
                                  <a:pt x="107956" y="233520"/>
                                </a:cubicBezTo>
                                <a:lnTo>
                                  <a:pt x="144475" y="241233"/>
                                </a:lnTo>
                                <a:lnTo>
                                  <a:pt x="144475" y="286167"/>
                                </a:lnTo>
                                <a:lnTo>
                                  <a:pt x="115366" y="283260"/>
                                </a:lnTo>
                                <a:cubicBezTo>
                                  <a:pt x="49521" y="269916"/>
                                  <a:pt x="0" y="212219"/>
                                  <a:pt x="0" y="143077"/>
                                </a:cubicBezTo>
                                <a:cubicBezTo>
                                  <a:pt x="0" y="73924"/>
                                  <a:pt x="49521" y="16244"/>
                                  <a:pt x="115366" y="2905"/>
                                </a:cubicBezTo>
                                <a:lnTo>
                                  <a:pt x="144475" y="0"/>
                                </a:lnTo>
                                <a:close/>
                              </a:path>
                            </a:pathLst>
                          </a:custGeom>
                          <a:ln w="0" cap="flat">
                            <a:miter lim="127000"/>
                          </a:ln>
                        </wps:spPr>
                        <wps:style>
                          <a:lnRef idx="0">
                            <a:srgbClr val="000000">
                              <a:alpha val="0"/>
                            </a:srgbClr>
                          </a:lnRef>
                          <a:fillRef idx="1">
                            <a:srgbClr val="005CA9"/>
                          </a:fillRef>
                          <a:effectRef idx="0">
                            <a:scrgbClr r="0" g="0" b="0"/>
                          </a:effectRef>
                          <a:fontRef idx="none"/>
                        </wps:style>
                        <wps:bodyPr/>
                      </wps:wsp>
                      <wps:wsp>
                        <wps:cNvPr id="84" name="Shape 84"/>
                        <wps:cNvSpPr/>
                        <wps:spPr>
                          <a:xfrm>
                            <a:off x="1476836" y="55734"/>
                            <a:ext cx="144501" cy="286169"/>
                          </a:xfrm>
                          <a:custGeom>
                            <a:avLst/>
                            <a:gdLst/>
                            <a:ahLst/>
                            <a:cxnLst/>
                            <a:rect l="0" t="0" r="0" b="0"/>
                            <a:pathLst>
                              <a:path w="144501" h="286169">
                                <a:moveTo>
                                  <a:pt x="13" y="0"/>
                                </a:moveTo>
                                <a:cubicBezTo>
                                  <a:pt x="79832" y="0"/>
                                  <a:pt x="144501" y="64046"/>
                                  <a:pt x="144501" y="143078"/>
                                </a:cubicBezTo>
                                <a:cubicBezTo>
                                  <a:pt x="144501" y="175298"/>
                                  <a:pt x="133744" y="205003"/>
                                  <a:pt x="115621" y="228917"/>
                                </a:cubicBezTo>
                                <a:lnTo>
                                  <a:pt x="138303" y="251638"/>
                                </a:lnTo>
                                <a:lnTo>
                                  <a:pt x="105359" y="284582"/>
                                </a:lnTo>
                                <a:lnTo>
                                  <a:pt x="81788" y="261023"/>
                                </a:lnTo>
                                <a:cubicBezTo>
                                  <a:pt x="58509" y="276847"/>
                                  <a:pt x="30366" y="286169"/>
                                  <a:pt x="13" y="286169"/>
                                </a:cubicBezTo>
                                <a:lnTo>
                                  <a:pt x="0" y="286168"/>
                                </a:lnTo>
                                <a:lnTo>
                                  <a:pt x="0" y="241234"/>
                                </a:lnTo>
                                <a:lnTo>
                                  <a:pt x="13" y="241236"/>
                                </a:lnTo>
                                <a:cubicBezTo>
                                  <a:pt x="17602" y="241236"/>
                                  <a:pt x="34061" y="236156"/>
                                  <a:pt x="48146" y="227355"/>
                                </a:cubicBezTo>
                                <a:lnTo>
                                  <a:pt x="16358" y="195593"/>
                                </a:lnTo>
                                <a:lnTo>
                                  <a:pt x="49340" y="162649"/>
                                </a:lnTo>
                                <a:lnTo>
                                  <a:pt x="80404" y="193700"/>
                                </a:lnTo>
                                <a:cubicBezTo>
                                  <a:pt x="88925" y="178918"/>
                                  <a:pt x="93853" y="161595"/>
                                  <a:pt x="93853" y="143078"/>
                                </a:cubicBezTo>
                                <a:cubicBezTo>
                                  <a:pt x="93853" y="88849"/>
                                  <a:pt x="51829" y="44907"/>
                                  <a:pt x="13" y="44907"/>
                                </a:cubicBezTo>
                                <a:lnTo>
                                  <a:pt x="0" y="44910"/>
                                </a:lnTo>
                                <a:lnTo>
                                  <a:pt x="0" y="1"/>
                                </a:lnTo>
                                <a:lnTo>
                                  <a:pt x="13" y="0"/>
                                </a:lnTo>
                                <a:close/>
                              </a:path>
                            </a:pathLst>
                          </a:custGeom>
                          <a:ln w="0" cap="flat">
                            <a:miter lim="127000"/>
                          </a:ln>
                        </wps:spPr>
                        <wps:style>
                          <a:lnRef idx="0">
                            <a:srgbClr val="000000">
                              <a:alpha val="0"/>
                            </a:srgbClr>
                          </a:lnRef>
                          <a:fillRef idx="1">
                            <a:srgbClr val="005CA9"/>
                          </a:fillRef>
                          <a:effectRef idx="0">
                            <a:scrgbClr r="0" g="0" b="0"/>
                          </a:effectRef>
                          <a:fontRef idx="none"/>
                        </wps:style>
                        <wps:bodyPr/>
                      </wps:wsp>
                      <wps:wsp>
                        <wps:cNvPr id="85" name="Shape 85"/>
                        <wps:cNvSpPr/>
                        <wps:spPr>
                          <a:xfrm>
                            <a:off x="1623040" y="64371"/>
                            <a:ext cx="133318" cy="268872"/>
                          </a:xfrm>
                          <a:custGeom>
                            <a:avLst/>
                            <a:gdLst/>
                            <a:ahLst/>
                            <a:cxnLst/>
                            <a:rect l="0" t="0" r="0" b="0"/>
                            <a:pathLst>
                              <a:path w="133318" h="268872">
                                <a:moveTo>
                                  <a:pt x="117539" y="0"/>
                                </a:moveTo>
                                <a:lnTo>
                                  <a:pt x="133318" y="0"/>
                                </a:lnTo>
                                <a:lnTo>
                                  <a:pt x="133318" y="78841"/>
                                </a:lnTo>
                                <a:lnTo>
                                  <a:pt x="93561" y="174028"/>
                                </a:lnTo>
                                <a:lnTo>
                                  <a:pt x="133318" y="174028"/>
                                </a:lnTo>
                                <a:lnTo>
                                  <a:pt x="133318" y="218237"/>
                                </a:lnTo>
                                <a:lnTo>
                                  <a:pt x="75095" y="218237"/>
                                </a:lnTo>
                                <a:lnTo>
                                  <a:pt x="53937" y="268872"/>
                                </a:lnTo>
                                <a:lnTo>
                                  <a:pt x="0" y="268872"/>
                                </a:lnTo>
                                <a:lnTo>
                                  <a:pt x="117539" y="0"/>
                                </a:lnTo>
                                <a:close/>
                              </a:path>
                            </a:pathLst>
                          </a:custGeom>
                          <a:ln w="0" cap="flat">
                            <a:miter lim="127000"/>
                          </a:ln>
                        </wps:spPr>
                        <wps:style>
                          <a:lnRef idx="0">
                            <a:srgbClr val="000000">
                              <a:alpha val="0"/>
                            </a:srgbClr>
                          </a:lnRef>
                          <a:fillRef idx="1">
                            <a:srgbClr val="005CA9"/>
                          </a:fillRef>
                          <a:effectRef idx="0">
                            <a:scrgbClr r="0" g="0" b="0"/>
                          </a:effectRef>
                          <a:fontRef idx="none"/>
                        </wps:style>
                        <wps:bodyPr/>
                      </wps:wsp>
                      <wps:wsp>
                        <wps:cNvPr id="86" name="Shape 86"/>
                        <wps:cNvSpPr/>
                        <wps:spPr>
                          <a:xfrm>
                            <a:off x="1756358" y="64371"/>
                            <a:ext cx="133636" cy="268872"/>
                          </a:xfrm>
                          <a:custGeom>
                            <a:avLst/>
                            <a:gdLst/>
                            <a:ahLst/>
                            <a:cxnLst/>
                            <a:rect l="0" t="0" r="0" b="0"/>
                            <a:pathLst>
                              <a:path w="133636" h="268872">
                                <a:moveTo>
                                  <a:pt x="0" y="0"/>
                                </a:moveTo>
                                <a:lnTo>
                                  <a:pt x="19082" y="0"/>
                                </a:lnTo>
                                <a:lnTo>
                                  <a:pt x="133636" y="268872"/>
                                </a:lnTo>
                                <a:lnTo>
                                  <a:pt x="78162" y="268872"/>
                                </a:lnTo>
                                <a:lnTo>
                                  <a:pt x="57677" y="218237"/>
                                </a:lnTo>
                                <a:lnTo>
                                  <a:pt x="0" y="218237"/>
                                </a:lnTo>
                                <a:lnTo>
                                  <a:pt x="0" y="174028"/>
                                </a:lnTo>
                                <a:lnTo>
                                  <a:pt x="39757" y="174028"/>
                                </a:lnTo>
                                <a:lnTo>
                                  <a:pt x="641" y="77305"/>
                                </a:lnTo>
                                <a:lnTo>
                                  <a:pt x="0" y="78841"/>
                                </a:lnTo>
                                <a:lnTo>
                                  <a:pt x="0" y="0"/>
                                </a:lnTo>
                                <a:close/>
                              </a:path>
                            </a:pathLst>
                          </a:custGeom>
                          <a:ln w="0" cap="flat">
                            <a:miter lim="127000"/>
                          </a:ln>
                        </wps:spPr>
                        <wps:style>
                          <a:lnRef idx="0">
                            <a:srgbClr val="000000">
                              <a:alpha val="0"/>
                            </a:srgbClr>
                          </a:lnRef>
                          <a:fillRef idx="1">
                            <a:srgbClr val="005CA9"/>
                          </a:fillRef>
                          <a:effectRef idx="0">
                            <a:scrgbClr r="0" g="0" b="0"/>
                          </a:effectRef>
                          <a:fontRef idx="none"/>
                        </wps:style>
                        <wps:bodyPr/>
                      </wps:wsp>
                      <wps:wsp>
                        <wps:cNvPr id="87" name="Shape 87"/>
                        <wps:cNvSpPr/>
                        <wps:spPr>
                          <a:xfrm>
                            <a:off x="0" y="291946"/>
                            <a:ext cx="184582" cy="37681"/>
                          </a:xfrm>
                          <a:custGeom>
                            <a:avLst/>
                            <a:gdLst/>
                            <a:ahLst/>
                            <a:cxnLst/>
                            <a:rect l="0" t="0" r="0" b="0"/>
                            <a:pathLst>
                              <a:path w="184582" h="37681">
                                <a:moveTo>
                                  <a:pt x="21082" y="0"/>
                                </a:moveTo>
                                <a:lnTo>
                                  <a:pt x="129667" y="0"/>
                                </a:lnTo>
                                <a:cubicBezTo>
                                  <a:pt x="134125" y="3823"/>
                                  <a:pt x="139243" y="8293"/>
                                  <a:pt x="144348" y="12128"/>
                                </a:cubicBezTo>
                                <a:cubicBezTo>
                                  <a:pt x="156489" y="21704"/>
                                  <a:pt x="169901" y="30645"/>
                                  <a:pt x="184582" y="37681"/>
                                </a:cubicBezTo>
                                <a:lnTo>
                                  <a:pt x="0" y="37681"/>
                                </a:lnTo>
                                <a:lnTo>
                                  <a:pt x="21082" y="0"/>
                                </a:lnTo>
                                <a:close/>
                              </a:path>
                            </a:pathLst>
                          </a:custGeom>
                          <a:ln w="0" cap="flat">
                            <a:miter lim="127000"/>
                          </a:ln>
                        </wps:spPr>
                        <wps:style>
                          <a:lnRef idx="0">
                            <a:srgbClr val="000000">
                              <a:alpha val="0"/>
                            </a:srgbClr>
                          </a:lnRef>
                          <a:fillRef idx="1">
                            <a:srgbClr val="005CA9"/>
                          </a:fillRef>
                          <a:effectRef idx="0">
                            <a:scrgbClr r="0" g="0" b="0"/>
                          </a:effectRef>
                          <a:fontRef idx="none"/>
                        </wps:style>
                        <wps:bodyPr/>
                      </wps:wsp>
                      <wps:wsp>
                        <wps:cNvPr id="88" name="Shape 88"/>
                        <wps:cNvSpPr/>
                        <wps:spPr>
                          <a:xfrm>
                            <a:off x="148826" y="55608"/>
                            <a:ext cx="399199" cy="277216"/>
                          </a:xfrm>
                          <a:custGeom>
                            <a:avLst/>
                            <a:gdLst/>
                            <a:ahLst/>
                            <a:cxnLst/>
                            <a:rect l="0" t="0" r="0" b="0"/>
                            <a:pathLst>
                              <a:path w="399199" h="277216">
                                <a:moveTo>
                                  <a:pt x="76645" y="0"/>
                                </a:moveTo>
                                <a:cubicBezTo>
                                  <a:pt x="70256" y="5118"/>
                                  <a:pt x="32575" y="79197"/>
                                  <a:pt x="79197" y="144348"/>
                                </a:cubicBezTo>
                                <a:cubicBezTo>
                                  <a:pt x="92608" y="162865"/>
                                  <a:pt x="111773" y="185229"/>
                                  <a:pt x="134760" y="198653"/>
                                </a:cubicBezTo>
                                <a:cubicBezTo>
                                  <a:pt x="158394" y="212065"/>
                                  <a:pt x="173736" y="215252"/>
                                  <a:pt x="183947" y="218440"/>
                                </a:cubicBezTo>
                                <a:cubicBezTo>
                                  <a:pt x="201828" y="222910"/>
                                  <a:pt x="229299" y="224828"/>
                                  <a:pt x="265062" y="226759"/>
                                </a:cubicBezTo>
                                <a:cubicBezTo>
                                  <a:pt x="293815" y="228663"/>
                                  <a:pt x="352577" y="228663"/>
                                  <a:pt x="362788" y="228663"/>
                                </a:cubicBezTo>
                                <a:lnTo>
                                  <a:pt x="373659" y="228663"/>
                                </a:lnTo>
                                <a:lnTo>
                                  <a:pt x="399199" y="277216"/>
                                </a:lnTo>
                                <a:cubicBezTo>
                                  <a:pt x="399199" y="277216"/>
                                  <a:pt x="313614" y="277216"/>
                                  <a:pt x="274015" y="275285"/>
                                </a:cubicBezTo>
                                <a:cubicBezTo>
                                  <a:pt x="228663" y="272745"/>
                                  <a:pt x="194170" y="270180"/>
                                  <a:pt x="171818" y="264439"/>
                                </a:cubicBezTo>
                                <a:cubicBezTo>
                                  <a:pt x="159042" y="260604"/>
                                  <a:pt x="139243" y="256121"/>
                                  <a:pt x="109220" y="238874"/>
                                </a:cubicBezTo>
                                <a:cubicBezTo>
                                  <a:pt x="81115" y="222288"/>
                                  <a:pt x="51740" y="193535"/>
                                  <a:pt x="36398" y="169266"/>
                                </a:cubicBezTo>
                                <a:cubicBezTo>
                                  <a:pt x="0" y="111125"/>
                                  <a:pt x="8941" y="71539"/>
                                  <a:pt x="14046" y="52375"/>
                                </a:cubicBezTo>
                                <a:cubicBezTo>
                                  <a:pt x="24270" y="38329"/>
                                  <a:pt x="37681" y="24270"/>
                                  <a:pt x="52362" y="14059"/>
                                </a:cubicBezTo>
                                <a:cubicBezTo>
                                  <a:pt x="62586" y="6388"/>
                                  <a:pt x="69609" y="3188"/>
                                  <a:pt x="76645" y="0"/>
                                </a:cubicBezTo>
                                <a:close/>
                              </a:path>
                            </a:pathLst>
                          </a:custGeom>
                          <a:ln w="0" cap="flat">
                            <a:miter lim="127000"/>
                          </a:ln>
                        </wps:spPr>
                        <wps:style>
                          <a:lnRef idx="0">
                            <a:srgbClr val="000000">
                              <a:alpha val="0"/>
                            </a:srgbClr>
                          </a:lnRef>
                          <a:fillRef idx="1">
                            <a:srgbClr val="005CA9"/>
                          </a:fillRef>
                          <a:effectRef idx="0">
                            <a:scrgbClr r="0" g="0" b="0"/>
                          </a:effectRef>
                          <a:fontRef idx="none"/>
                        </wps:style>
                        <wps:bodyPr/>
                      </wps:wsp>
                      <wps:wsp>
                        <wps:cNvPr id="89" name="Shape 89"/>
                        <wps:cNvSpPr/>
                        <wps:spPr>
                          <a:xfrm>
                            <a:off x="85583" y="0"/>
                            <a:ext cx="304673" cy="329624"/>
                          </a:xfrm>
                          <a:custGeom>
                            <a:avLst/>
                            <a:gdLst/>
                            <a:ahLst/>
                            <a:cxnLst/>
                            <a:rect l="0" t="0" r="0" b="0"/>
                            <a:pathLst>
                              <a:path w="304673" h="329624">
                                <a:moveTo>
                                  <a:pt x="168146" y="2098"/>
                                </a:moveTo>
                                <a:cubicBezTo>
                                  <a:pt x="177607" y="2797"/>
                                  <a:pt x="187627" y="4355"/>
                                  <a:pt x="198006" y="7069"/>
                                </a:cubicBezTo>
                                <a:cubicBezTo>
                                  <a:pt x="242087" y="19198"/>
                                  <a:pt x="279781" y="46668"/>
                                  <a:pt x="304673" y="82431"/>
                                </a:cubicBezTo>
                                <a:cubicBezTo>
                                  <a:pt x="304673" y="82431"/>
                                  <a:pt x="266992" y="33257"/>
                                  <a:pt x="202476" y="27503"/>
                                </a:cubicBezTo>
                                <a:cubicBezTo>
                                  <a:pt x="199288" y="27503"/>
                                  <a:pt x="196736" y="26868"/>
                                  <a:pt x="193535" y="26868"/>
                                </a:cubicBezTo>
                                <a:cubicBezTo>
                                  <a:pt x="161608" y="26233"/>
                                  <a:pt x="130950" y="37092"/>
                                  <a:pt x="106032" y="55609"/>
                                </a:cubicBezTo>
                                <a:cubicBezTo>
                                  <a:pt x="89421" y="67102"/>
                                  <a:pt x="75375" y="81796"/>
                                  <a:pt x="63881" y="98408"/>
                                </a:cubicBezTo>
                                <a:cubicBezTo>
                                  <a:pt x="63881" y="99690"/>
                                  <a:pt x="61316" y="102243"/>
                                  <a:pt x="58763" y="106713"/>
                                </a:cubicBezTo>
                                <a:lnTo>
                                  <a:pt x="58128" y="107983"/>
                                </a:lnTo>
                                <a:cubicBezTo>
                                  <a:pt x="57493" y="109253"/>
                                  <a:pt x="56845" y="109901"/>
                                  <a:pt x="56845" y="111184"/>
                                </a:cubicBezTo>
                                <a:cubicBezTo>
                                  <a:pt x="48552" y="126500"/>
                                  <a:pt x="37681" y="153335"/>
                                  <a:pt x="37681" y="187193"/>
                                </a:cubicBezTo>
                                <a:cubicBezTo>
                                  <a:pt x="37046" y="230627"/>
                                  <a:pt x="56223" y="261920"/>
                                  <a:pt x="63881" y="272779"/>
                                </a:cubicBezTo>
                                <a:cubicBezTo>
                                  <a:pt x="63881" y="273414"/>
                                  <a:pt x="82398" y="285555"/>
                                  <a:pt x="109868" y="290660"/>
                                </a:cubicBezTo>
                                <a:cubicBezTo>
                                  <a:pt x="120726" y="292578"/>
                                  <a:pt x="131585" y="293213"/>
                                  <a:pt x="140526" y="293213"/>
                                </a:cubicBezTo>
                                <a:cubicBezTo>
                                  <a:pt x="148184" y="298953"/>
                                  <a:pt x="155854" y="304719"/>
                                  <a:pt x="164160" y="309177"/>
                                </a:cubicBezTo>
                                <a:cubicBezTo>
                                  <a:pt x="177571" y="317483"/>
                                  <a:pt x="189065" y="322588"/>
                                  <a:pt x="199288" y="326423"/>
                                </a:cubicBezTo>
                                <a:cubicBezTo>
                                  <a:pt x="188430" y="328341"/>
                                  <a:pt x="177571" y="329624"/>
                                  <a:pt x="167348" y="329624"/>
                                </a:cubicBezTo>
                                <a:cubicBezTo>
                                  <a:pt x="131585" y="329624"/>
                                  <a:pt x="97092" y="312364"/>
                                  <a:pt x="68986" y="290660"/>
                                </a:cubicBezTo>
                                <a:cubicBezTo>
                                  <a:pt x="35141" y="264473"/>
                                  <a:pt x="10871" y="228697"/>
                                  <a:pt x="4483" y="189098"/>
                                </a:cubicBezTo>
                                <a:cubicBezTo>
                                  <a:pt x="3835" y="184628"/>
                                  <a:pt x="3200" y="180157"/>
                                  <a:pt x="2553" y="173769"/>
                                </a:cubicBezTo>
                                <a:cubicBezTo>
                                  <a:pt x="0" y="146312"/>
                                  <a:pt x="3835" y="112454"/>
                                  <a:pt x="23000" y="80526"/>
                                </a:cubicBezTo>
                                <a:cubicBezTo>
                                  <a:pt x="38964" y="52421"/>
                                  <a:pt x="63246" y="28138"/>
                                  <a:pt x="103467" y="10892"/>
                                </a:cubicBezTo>
                                <a:cubicBezTo>
                                  <a:pt x="116411" y="5625"/>
                                  <a:pt x="139764" y="0"/>
                                  <a:pt x="168146" y="2098"/>
                                </a:cubicBezTo>
                                <a:close/>
                              </a:path>
                            </a:pathLst>
                          </a:custGeom>
                          <a:ln w="0" cap="flat">
                            <a:miter lim="127000"/>
                          </a:ln>
                        </wps:spPr>
                        <wps:style>
                          <a:lnRef idx="0">
                            <a:srgbClr val="000000">
                              <a:alpha val="0"/>
                            </a:srgbClr>
                          </a:lnRef>
                          <a:fillRef idx="1">
                            <a:srgbClr val="005CA9"/>
                          </a:fillRef>
                          <a:effectRef idx="0">
                            <a:scrgbClr r="0" g="0" b="0"/>
                          </a:effectRef>
                          <a:fontRef idx="none"/>
                        </wps:style>
                        <wps:bodyPr/>
                      </wps:wsp>
                      <wps:wsp>
                        <wps:cNvPr id="90" name="Shape 90"/>
                        <wps:cNvSpPr/>
                        <wps:spPr>
                          <a:xfrm>
                            <a:off x="325117" y="70303"/>
                            <a:ext cx="91973" cy="193535"/>
                          </a:xfrm>
                          <a:custGeom>
                            <a:avLst/>
                            <a:gdLst/>
                            <a:ahLst/>
                            <a:cxnLst/>
                            <a:rect l="0" t="0" r="0" b="0"/>
                            <a:pathLst>
                              <a:path w="91973" h="193535">
                                <a:moveTo>
                                  <a:pt x="30010" y="0"/>
                                </a:moveTo>
                                <a:cubicBezTo>
                                  <a:pt x="53645" y="14694"/>
                                  <a:pt x="88138" y="58750"/>
                                  <a:pt x="89421" y="98996"/>
                                </a:cubicBezTo>
                                <a:cubicBezTo>
                                  <a:pt x="91973" y="137325"/>
                                  <a:pt x="72809" y="175006"/>
                                  <a:pt x="60033" y="193535"/>
                                </a:cubicBezTo>
                                <a:cubicBezTo>
                                  <a:pt x="38951" y="192253"/>
                                  <a:pt x="22987" y="190335"/>
                                  <a:pt x="12128" y="187147"/>
                                </a:cubicBezTo>
                                <a:cubicBezTo>
                                  <a:pt x="8928" y="186500"/>
                                  <a:pt x="4470" y="185229"/>
                                  <a:pt x="0" y="183960"/>
                                </a:cubicBezTo>
                                <a:cubicBezTo>
                                  <a:pt x="13411" y="171171"/>
                                  <a:pt x="33846" y="147549"/>
                                  <a:pt x="44069" y="111125"/>
                                </a:cubicBezTo>
                                <a:cubicBezTo>
                                  <a:pt x="58115" y="60033"/>
                                  <a:pt x="44069" y="25540"/>
                                  <a:pt x="30010" y="0"/>
                                </a:cubicBezTo>
                                <a:close/>
                              </a:path>
                            </a:pathLst>
                          </a:custGeom>
                          <a:ln w="0" cap="flat">
                            <a:miter lim="127000"/>
                          </a:ln>
                        </wps:spPr>
                        <wps:style>
                          <a:lnRef idx="0">
                            <a:srgbClr val="000000">
                              <a:alpha val="0"/>
                            </a:srgbClr>
                          </a:lnRef>
                          <a:fillRef idx="1">
                            <a:srgbClr val="005CA9"/>
                          </a:fillRef>
                          <a:effectRef idx="0">
                            <a:scrgbClr r="0" g="0" b="0"/>
                          </a:effectRef>
                          <a:fontRef idx="none"/>
                        </wps:style>
                        <wps:bodyPr/>
                      </wps:wsp>
                    </wpg:wgp>
                  </a:graphicData>
                </a:graphic>
              </wp:anchor>
            </w:drawing>
          </mc:Choice>
          <mc:Fallback xmlns:a="http://schemas.openxmlformats.org/drawingml/2006/main">
            <w:pict>
              <v:group id="Group 7242" style="width:148.818pt;height:26.9215pt;position:absolute;mso-position-horizontal-relative:text;mso-position-horizontal:absolute;margin-left:0.000301361pt;mso-position-vertical-relative:text;margin-top:-2.96428pt;" coordsize="18899,3419">
                <v:shape id="Shape 80" style="position:absolute;width:2374;height:2751;left:6575;top:643;" coordsize="237477,275120" path="m0,0l50622,0l50622,149225c50622,198501,80086,228041,118745,228041c157836,228041,186855,198501,186855,149225l186855,0l237477,0l237477,159944c237477,222047,190906,275120,118745,275120c46571,275120,0,222047,0,159944l0,0x">
                  <v:stroke weight="0pt" endcap="flat" joinstyle="miter" miterlimit="10" on="false" color="#000000" opacity="0"/>
                  <v:fill on="true" color="#005ca9"/>
                </v:shape>
                <v:shape id="Shape 81" style="position:absolute;width:2243;height:2693;left:9516;top:643;" coordsize="224396,269329" path="m0,0l27356,0l174307,168046l174307,0l224396,0l224396,269329l196736,269329l50076,101524l50076,268872l0,268872l0,0x">
                  <v:stroke weight="0pt" endcap="flat" joinstyle="miter" miterlimit="10" on="false" color="#000000" opacity="0"/>
                  <v:fill on="true" color="#005ca9"/>
                </v:shape>
                <v:shape id="Shape 10247" style="position:absolute;width:519;height:2688;left:12359;top:643;" coordsize="51968,268872" path="m0,0l51968,0l51968,268872l0,268872l0,0">
                  <v:stroke weight="0pt" endcap="flat" joinstyle="miter" miterlimit="10" on="false" color="#000000" opacity="0"/>
                  <v:fill on="true" color="#005ca9"/>
                </v:shape>
                <v:shape id="Shape 83" style="position:absolute;width:1444;height:2861;left:13323;top:557;" coordsize="144475,286167" path="m144475,0l144475,44909l107956,52619c74268,67520,50622,102405,50622,143077c50622,183730,74268,218617,107956,233520l144475,241233l144475,286167l115366,283260c49521,269916,0,212219,0,143077c0,73924,49521,16244,115366,2905l144475,0x">
                  <v:stroke weight="0pt" endcap="flat" joinstyle="miter" miterlimit="10" on="false" color="#000000" opacity="0"/>
                  <v:fill on="true" color="#005ca9"/>
                </v:shape>
                <v:shape id="Shape 84" style="position:absolute;width:1445;height:2861;left:14768;top:557;" coordsize="144501,286169" path="m13,0c79832,0,144501,64046,144501,143078c144501,175298,133744,205003,115621,228917l138303,251638l105359,284582l81788,261023c58509,276847,30366,286169,13,286169l0,286168l0,241234l13,241236c17602,241236,34061,236156,48146,227355l16358,195593l49340,162649l80404,193700c88925,178918,93853,161595,93853,143078c93853,88849,51829,44907,13,44907l0,44910l0,1l13,0x">
                  <v:stroke weight="0pt" endcap="flat" joinstyle="miter" miterlimit="10" on="false" color="#000000" opacity="0"/>
                  <v:fill on="true" color="#005ca9"/>
                </v:shape>
                <v:shape id="Shape 85" style="position:absolute;width:1333;height:2688;left:16230;top:643;" coordsize="133318,268872" path="m117539,0l133318,0l133318,78841l93561,174028l133318,174028l133318,218237l75095,218237l53937,268872l0,268872l117539,0x">
                  <v:stroke weight="0pt" endcap="flat" joinstyle="miter" miterlimit="10" on="false" color="#000000" opacity="0"/>
                  <v:fill on="true" color="#005ca9"/>
                </v:shape>
                <v:shape id="Shape 86" style="position:absolute;width:1336;height:2688;left:17563;top:643;" coordsize="133636,268872" path="m0,0l19082,0l133636,268872l78162,268872l57677,218237l0,218237l0,174028l39757,174028l641,77305l0,78841l0,0x">
                  <v:stroke weight="0pt" endcap="flat" joinstyle="miter" miterlimit="10" on="false" color="#000000" opacity="0"/>
                  <v:fill on="true" color="#005ca9"/>
                </v:shape>
                <v:shape id="Shape 87" style="position:absolute;width:1845;height:376;left:0;top:2919;" coordsize="184582,37681" path="m21082,0l129667,0c134125,3823,139243,8293,144348,12128c156489,21704,169901,30645,184582,37681l0,37681l21082,0x">
                  <v:stroke weight="0pt" endcap="flat" joinstyle="miter" miterlimit="10" on="false" color="#000000" opacity="0"/>
                  <v:fill on="true" color="#005ca9"/>
                </v:shape>
                <v:shape id="Shape 88" style="position:absolute;width:3991;height:2772;left:1488;top:556;" coordsize="399199,277216" path="m76645,0c70256,5118,32575,79197,79197,144348c92608,162865,111773,185229,134760,198653c158394,212065,173736,215252,183947,218440c201828,222910,229299,224828,265062,226759c293815,228663,352577,228663,362788,228663l373659,228663l399199,277216c399199,277216,313614,277216,274015,275285c228663,272745,194170,270180,171818,264439c159042,260604,139243,256121,109220,238874c81115,222288,51740,193535,36398,169266c0,111125,8941,71539,14046,52375c24270,38329,37681,24270,52362,14059c62586,6388,69609,3188,76645,0x">
                  <v:stroke weight="0pt" endcap="flat" joinstyle="miter" miterlimit="10" on="false" color="#000000" opacity="0"/>
                  <v:fill on="true" color="#005ca9"/>
                </v:shape>
                <v:shape id="Shape 89" style="position:absolute;width:3046;height:3296;left:855;top:0;" coordsize="304673,329624" path="m168146,2098c177607,2797,187627,4355,198006,7069c242087,19198,279781,46668,304673,82431c304673,82431,266992,33257,202476,27503c199288,27503,196736,26868,193535,26868c161608,26233,130950,37092,106032,55609c89421,67102,75375,81796,63881,98408c63881,99690,61316,102243,58763,106713l58128,107983c57493,109253,56845,109901,56845,111184c48552,126500,37681,153335,37681,187193c37046,230627,56223,261920,63881,272779c63881,273414,82398,285555,109868,290660c120726,292578,131585,293213,140526,293213c148184,298953,155854,304719,164160,309177c177571,317483,189065,322588,199288,326423c188430,328341,177571,329624,167348,329624c131585,329624,97092,312364,68986,290660c35141,264473,10871,228697,4483,189098c3835,184628,3200,180157,2553,173769c0,146312,3835,112454,23000,80526c38964,52421,63246,28138,103467,10892c116411,5625,139764,0,168146,2098x">
                  <v:stroke weight="0pt" endcap="flat" joinstyle="miter" miterlimit="10" on="false" color="#000000" opacity="0"/>
                  <v:fill on="true" color="#005ca9"/>
                </v:shape>
                <v:shape id="Shape 90" style="position:absolute;width:919;height:1935;left:3251;top:703;" coordsize="91973,193535" path="m30010,0c53645,14694,88138,58750,89421,98996c91973,137325,72809,175006,60033,193535c38951,192253,22987,190335,12128,187147c8928,186500,4470,185229,0,183960c13411,171171,33846,147549,44069,111125c58115,60033,44069,25540,30010,0x">
                  <v:stroke weight="0pt" endcap="flat" joinstyle="miter" miterlimit="10" on="false" color="#000000" opacity="0"/>
                  <v:fill on="true" color="#005ca9"/>
                </v:shape>
                <w10:wrap type="square"/>
              </v:group>
            </w:pict>
          </mc:Fallback>
        </mc:AlternateContent>
      </w:r>
      <w:r>
        <w:rPr>
          <w:color w:val="005CA9"/>
          <w:sz w:val="24"/>
        </w:rPr>
        <w:t>Všeobecné pojistné podmínky</w:t>
      </w:r>
    </w:p>
    <w:p w14:paraId="1EE2594E" w14:textId="77777777" w:rsidR="00DA61B0" w:rsidRDefault="001D14DA">
      <w:pPr>
        <w:spacing w:after="0" w:line="265" w:lineRule="auto"/>
        <w:ind w:right="-15"/>
        <w:jc w:val="right"/>
      </w:pPr>
      <w:r>
        <w:rPr>
          <w:color w:val="005CA9"/>
          <w:sz w:val="24"/>
        </w:rPr>
        <w:t>Asistence vozidel do 3,5 t – zvláštní část</w:t>
      </w:r>
    </w:p>
    <w:p w14:paraId="6C88CF23" w14:textId="77777777" w:rsidR="00DA61B0" w:rsidRDefault="001D14DA">
      <w:pPr>
        <w:spacing w:after="719" w:line="265" w:lineRule="auto"/>
        <w:ind w:right="-15"/>
        <w:jc w:val="right"/>
      </w:pPr>
      <w:r>
        <w:rPr>
          <w:color w:val="005CA9"/>
          <w:sz w:val="24"/>
        </w:rPr>
        <w:t>UCZ/As-A/24</w:t>
      </w:r>
    </w:p>
    <w:p w14:paraId="577F6EB2" w14:textId="77777777" w:rsidR="00DA61B0" w:rsidRDefault="001D14DA">
      <w:pPr>
        <w:pStyle w:val="Nadpis1"/>
        <w:ind w:left="0" w:firstLine="0"/>
      </w:pPr>
      <w:r>
        <w:t>Obsah</w:t>
      </w:r>
    </w:p>
    <w:p w14:paraId="3D4EB531" w14:textId="77777777" w:rsidR="001D14DA" w:rsidRDefault="001D14DA">
      <w:pPr>
        <w:ind w:left="-5"/>
      </w:pPr>
      <w:r>
        <w:t xml:space="preserve">čl. </w:t>
      </w:r>
      <w:proofErr w:type="gramStart"/>
      <w:r>
        <w:t>1  Úvodní</w:t>
      </w:r>
      <w:proofErr w:type="gramEnd"/>
      <w:r>
        <w:t xml:space="preserve"> ustanovení čl. 2  Výklad pojmů </w:t>
      </w:r>
    </w:p>
    <w:p w14:paraId="4EC67B9A" w14:textId="4ECA2DDF" w:rsidR="00DA61B0" w:rsidRDefault="001D14DA">
      <w:pPr>
        <w:ind w:left="-5"/>
      </w:pPr>
      <w:r>
        <w:t xml:space="preserve">čl. </w:t>
      </w:r>
      <w:proofErr w:type="gramStart"/>
      <w:r>
        <w:t>3  Rozsah</w:t>
      </w:r>
      <w:proofErr w:type="gramEnd"/>
      <w:r>
        <w:t xml:space="preserve"> pojištění</w:t>
      </w:r>
    </w:p>
    <w:p w14:paraId="396DB7EA" w14:textId="77777777" w:rsidR="001D14DA" w:rsidRDefault="001D14DA">
      <w:pPr>
        <w:ind w:left="-5" w:right="6639"/>
      </w:pPr>
      <w:r>
        <w:t xml:space="preserve">čl. </w:t>
      </w:r>
      <w:proofErr w:type="gramStart"/>
      <w:r>
        <w:t>4  Rozsah</w:t>
      </w:r>
      <w:proofErr w:type="gramEnd"/>
      <w:r>
        <w:t xml:space="preserve"> asistence, společná ujednání čl. 5  Rozsah Základní asistence </w:t>
      </w:r>
    </w:p>
    <w:p w14:paraId="39A21B38" w14:textId="77777777" w:rsidR="001D14DA" w:rsidRDefault="001D14DA">
      <w:pPr>
        <w:ind w:left="-5" w:right="6639"/>
      </w:pPr>
      <w:r>
        <w:t xml:space="preserve">čl. </w:t>
      </w:r>
      <w:proofErr w:type="gramStart"/>
      <w:r>
        <w:t>6  Rozsah</w:t>
      </w:r>
      <w:proofErr w:type="gramEnd"/>
      <w:r>
        <w:t xml:space="preserve"> Komfort asistence </w:t>
      </w:r>
    </w:p>
    <w:p w14:paraId="2AF6841A" w14:textId="77777777" w:rsidR="001D14DA" w:rsidRDefault="001D14DA">
      <w:pPr>
        <w:ind w:left="-5" w:right="6639"/>
      </w:pPr>
      <w:r>
        <w:t xml:space="preserve">čl. </w:t>
      </w:r>
      <w:proofErr w:type="gramStart"/>
      <w:r>
        <w:t>7  Rozsah</w:t>
      </w:r>
      <w:proofErr w:type="gramEnd"/>
      <w:r>
        <w:t xml:space="preserve"> Super asistence </w:t>
      </w:r>
    </w:p>
    <w:p w14:paraId="2F80B417" w14:textId="1AFB04DE" w:rsidR="00DA61B0" w:rsidRDefault="001D14DA">
      <w:pPr>
        <w:ind w:left="-5" w:right="6639"/>
      </w:pPr>
      <w:r>
        <w:t xml:space="preserve">čl. </w:t>
      </w:r>
      <w:proofErr w:type="gramStart"/>
      <w:r>
        <w:t>8  Rozsah</w:t>
      </w:r>
      <w:proofErr w:type="gramEnd"/>
      <w:r>
        <w:t xml:space="preserve"> </w:t>
      </w:r>
      <w:proofErr w:type="spellStart"/>
      <w:r>
        <w:t>Bezlimitní</w:t>
      </w:r>
      <w:proofErr w:type="spellEnd"/>
      <w:r>
        <w:t xml:space="preserve"> asistence </w:t>
      </w:r>
    </w:p>
    <w:p w14:paraId="4EFE84A1" w14:textId="77777777" w:rsidR="001D14DA" w:rsidRDefault="001D14DA" w:rsidP="001D14DA">
      <w:pPr>
        <w:spacing w:after="236" w:line="254" w:lineRule="auto"/>
        <w:ind w:left="-5" w:right="7962" w:hanging="11"/>
        <w:contextualSpacing/>
      </w:pPr>
      <w:r>
        <w:t xml:space="preserve">čl. </w:t>
      </w:r>
      <w:proofErr w:type="gramStart"/>
      <w:r>
        <w:t>9  Výluky</w:t>
      </w:r>
      <w:proofErr w:type="gramEnd"/>
      <w:r>
        <w:t xml:space="preserve"> z pojištění </w:t>
      </w:r>
    </w:p>
    <w:p w14:paraId="3FED88D5" w14:textId="1326B51B" w:rsidR="001D14DA" w:rsidRDefault="001D14DA" w:rsidP="001D14DA">
      <w:pPr>
        <w:spacing w:after="236" w:line="254" w:lineRule="auto"/>
        <w:ind w:left="-5" w:right="7962" w:hanging="11"/>
        <w:contextualSpacing/>
      </w:pPr>
      <w:r>
        <w:t xml:space="preserve">čl. 10 Ostatní ujednání </w:t>
      </w:r>
    </w:p>
    <w:p w14:paraId="77899478" w14:textId="2F648FCD" w:rsidR="00DA61B0" w:rsidRDefault="001D14DA" w:rsidP="001D14DA">
      <w:pPr>
        <w:spacing w:after="236" w:line="254" w:lineRule="auto"/>
        <w:ind w:right="7455" w:hanging="11"/>
        <w:contextualSpacing/>
      </w:pPr>
      <w:r>
        <w:t>čl. 11 Závěrečná ustanovení</w:t>
      </w:r>
    </w:p>
    <w:p w14:paraId="1C278219" w14:textId="77777777" w:rsidR="001D14DA" w:rsidRDefault="001D14DA" w:rsidP="001D14DA">
      <w:pPr>
        <w:spacing w:after="236" w:line="254" w:lineRule="auto"/>
        <w:ind w:right="7455" w:hanging="11"/>
        <w:contextualSpacing/>
      </w:pPr>
    </w:p>
    <w:p w14:paraId="7411AFAF" w14:textId="77777777" w:rsidR="00DA61B0" w:rsidRDefault="001D14DA">
      <w:pPr>
        <w:spacing w:after="303"/>
        <w:ind w:left="-5" w:right="0"/>
      </w:pPr>
      <w:r>
        <w:t xml:space="preserve">Pojištění je upraveno touto zvláštní částí Všeobecných podmínek, Všeobecnými pojistnými podmínkami – obecná část UCZ/15, zvláštní částí UCZ/POV/24, zvláštní části UCZ/Kas/24, pojistnými podmínkami pro jednotlivé typy KASKO pojištění a zvláštní částí UCZ/Voz/24, které spolu </w:t>
      </w:r>
      <w:proofErr w:type="gramStart"/>
      <w:r>
        <w:t>tvoří</w:t>
      </w:r>
      <w:proofErr w:type="gramEnd"/>
      <w:r>
        <w:t xml:space="preserve"> nedílnou součást. Toto pojištění se sjednává jako pojištění škodové.</w:t>
      </w:r>
    </w:p>
    <w:p w14:paraId="658DC296" w14:textId="77777777" w:rsidR="00DA61B0" w:rsidRDefault="001D14DA">
      <w:pPr>
        <w:pStyle w:val="Nadpis1"/>
        <w:ind w:left="-5"/>
      </w:pPr>
      <w:r>
        <w:t>Článek 1</w:t>
      </w:r>
    </w:p>
    <w:p w14:paraId="0A6ED1A2" w14:textId="77777777" w:rsidR="00DA61B0" w:rsidRDefault="001D14DA">
      <w:pPr>
        <w:pStyle w:val="Nadpis2"/>
        <w:ind w:left="-5"/>
      </w:pPr>
      <w:r>
        <w:t>Úvodní ustanovení</w:t>
      </w:r>
    </w:p>
    <w:p w14:paraId="586CDEDC" w14:textId="77777777" w:rsidR="00DA61B0" w:rsidRDefault="001D14DA">
      <w:pPr>
        <w:numPr>
          <w:ilvl w:val="0"/>
          <w:numId w:val="1"/>
        </w:numPr>
        <w:ind w:right="0" w:hanging="397"/>
      </w:pPr>
      <w:r>
        <w:t>Pojištění asistence UNIQA je zajišťováno smluvním partnerem pojistitele na území České republiky i v zemích uvedených v zelené kartě (zahraničí) k zabezpečení služeb dle rozsahu těchto pojistných podmínek.</w:t>
      </w:r>
    </w:p>
    <w:p w14:paraId="63AE81CD" w14:textId="77777777" w:rsidR="00DA61B0" w:rsidRDefault="001D14DA">
      <w:pPr>
        <w:numPr>
          <w:ilvl w:val="0"/>
          <w:numId w:val="1"/>
        </w:numPr>
        <w:ind w:right="0" w:hanging="397"/>
      </w:pPr>
      <w:r>
        <w:t>Pojištění asistence UNIQA se vztahuje za podmínek níže uvedených na každé vozidlo do 3,5 t celkové hmotnosti, které má u pojistitele uzavřenou pojistnou smlouvu, není-li ve smlouvě uvedeno jinak.</w:t>
      </w:r>
    </w:p>
    <w:p w14:paraId="38B6742F" w14:textId="77777777" w:rsidR="00DA61B0" w:rsidRDefault="001D14DA">
      <w:pPr>
        <w:numPr>
          <w:ilvl w:val="0"/>
          <w:numId w:val="1"/>
        </w:numPr>
        <w:spacing w:after="308"/>
        <w:ind w:right="0" w:hanging="397"/>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2AAEFE" wp14:editId="41882761">
                <wp:simplePos x="0" y="0"/>
                <wp:positionH relativeFrom="page">
                  <wp:posOffset>199328</wp:posOffset>
                </wp:positionH>
                <wp:positionV relativeFrom="page">
                  <wp:posOffset>6936164</wp:posOffset>
                </wp:positionV>
                <wp:extent cx="89529" cy="3287839"/>
                <wp:effectExtent l="0" t="0" r="0" b="0"/>
                <wp:wrapSquare wrapText="bothSides"/>
                <wp:docPr id="7241" name="Group 7241"/>
                <wp:cNvGraphicFramePr/>
                <a:graphic xmlns:a="http://schemas.openxmlformats.org/drawingml/2006/main">
                  <a:graphicData uri="http://schemas.microsoft.com/office/word/2010/wordprocessingGroup">
                    <wpg:wgp>
                      <wpg:cNvGrpSpPr/>
                      <wpg:grpSpPr>
                        <a:xfrm>
                          <a:off x="0" y="0"/>
                          <a:ext cx="89529" cy="3287839"/>
                          <a:chOff x="0" y="0"/>
                          <a:chExt cx="89529" cy="3287839"/>
                        </a:xfrm>
                      </wpg:grpSpPr>
                      <wps:wsp>
                        <wps:cNvPr id="73" name="Rectangle 73"/>
                        <wps:cNvSpPr/>
                        <wps:spPr>
                          <a:xfrm rot="-5399999">
                            <a:off x="-28443" y="3140321"/>
                            <a:ext cx="175962" cy="119074"/>
                          </a:xfrm>
                          <a:prstGeom prst="rect">
                            <a:avLst/>
                          </a:prstGeom>
                          <a:ln>
                            <a:noFill/>
                          </a:ln>
                        </wps:spPr>
                        <wps:txbx>
                          <w:txbxContent>
                            <w:p w14:paraId="32E4AB33" w14:textId="77777777" w:rsidR="00DA61B0" w:rsidRDefault="001D14DA">
                              <w:pPr>
                                <w:spacing w:after="160" w:line="259" w:lineRule="auto"/>
                                <w:ind w:left="0" w:right="0" w:firstLine="0"/>
                              </w:pPr>
                              <w:r>
                                <w:rPr>
                                  <w:sz w:val="15"/>
                                </w:rPr>
                                <w:t>EU</w:t>
                              </w:r>
                            </w:p>
                          </w:txbxContent>
                        </wps:txbx>
                        <wps:bodyPr horzOverflow="overflow" vert="horz" lIns="0" tIns="0" rIns="0" bIns="0" rtlCol="0">
                          <a:noAutofit/>
                        </wps:bodyPr>
                      </wps:wsp>
                      <wps:wsp>
                        <wps:cNvPr id="74" name="Rectangle 74"/>
                        <wps:cNvSpPr/>
                        <wps:spPr>
                          <a:xfrm rot="-5399999">
                            <a:off x="41927" y="3078391"/>
                            <a:ext cx="35218" cy="119074"/>
                          </a:xfrm>
                          <a:prstGeom prst="rect">
                            <a:avLst/>
                          </a:prstGeom>
                          <a:ln>
                            <a:noFill/>
                          </a:ln>
                        </wps:spPr>
                        <wps:txbx>
                          <w:txbxContent>
                            <w:p w14:paraId="569A2CE2" w14:textId="77777777" w:rsidR="00DA61B0" w:rsidRDefault="001D14DA">
                              <w:pPr>
                                <w:spacing w:after="160" w:line="259" w:lineRule="auto"/>
                                <w:ind w:left="0" w:right="0" w:firstLine="0"/>
                              </w:pPr>
                              <w:r>
                                <w:rPr>
                                  <w:sz w:val="15"/>
                                </w:rPr>
                                <w:t xml:space="preserve"> </w:t>
                              </w:r>
                            </w:p>
                          </w:txbxContent>
                        </wps:txbx>
                        <wps:bodyPr horzOverflow="overflow" vert="horz" lIns="0" tIns="0" rIns="0" bIns="0" rtlCol="0">
                          <a:noAutofit/>
                        </wps:bodyPr>
                      </wps:wsp>
                      <wps:wsp>
                        <wps:cNvPr id="75" name="Rectangle 75"/>
                        <wps:cNvSpPr/>
                        <wps:spPr>
                          <a:xfrm rot="-5399999">
                            <a:off x="-1176251" y="1860211"/>
                            <a:ext cx="2471576" cy="119074"/>
                          </a:xfrm>
                          <a:prstGeom prst="rect">
                            <a:avLst/>
                          </a:prstGeom>
                          <a:ln>
                            <a:noFill/>
                          </a:ln>
                        </wps:spPr>
                        <wps:txbx>
                          <w:txbxContent>
                            <w:p w14:paraId="1193C270" w14:textId="77777777" w:rsidR="00DA61B0" w:rsidRDefault="001D14DA">
                              <w:pPr>
                                <w:spacing w:after="160" w:line="259" w:lineRule="auto"/>
                                <w:ind w:left="0" w:right="0" w:firstLine="0"/>
                              </w:pPr>
                              <w:r>
                                <w:rPr>
                                  <w:sz w:val="15"/>
                                </w:rPr>
                                <w:t>_4362_1_E _</w:t>
                              </w:r>
                              <w:proofErr w:type="spellStart"/>
                              <w:r>
                                <w:rPr>
                                  <w:sz w:val="15"/>
                                </w:rPr>
                                <w:t>CZ_VPP_Asistence</w:t>
                              </w:r>
                              <w:proofErr w:type="spellEnd"/>
                              <w:r>
                                <w:rPr>
                                  <w:sz w:val="15"/>
                                </w:rPr>
                                <w:t xml:space="preserve"> vozidel do</w:t>
                              </w:r>
                            </w:p>
                          </w:txbxContent>
                        </wps:txbx>
                        <wps:bodyPr horzOverflow="overflow" vert="horz" lIns="0" tIns="0" rIns="0" bIns="0" rtlCol="0">
                          <a:noAutofit/>
                        </wps:bodyPr>
                      </wps:wsp>
                      <wps:wsp>
                        <wps:cNvPr id="76" name="Rectangle 76"/>
                        <wps:cNvSpPr/>
                        <wps:spPr>
                          <a:xfrm rot="-5399999">
                            <a:off x="41928" y="1220064"/>
                            <a:ext cx="35218" cy="119074"/>
                          </a:xfrm>
                          <a:prstGeom prst="rect">
                            <a:avLst/>
                          </a:prstGeom>
                          <a:ln>
                            <a:noFill/>
                          </a:ln>
                        </wps:spPr>
                        <wps:txbx>
                          <w:txbxContent>
                            <w:p w14:paraId="799ED633" w14:textId="77777777" w:rsidR="00DA61B0" w:rsidRDefault="001D14DA">
                              <w:pPr>
                                <w:spacing w:after="160" w:line="259" w:lineRule="auto"/>
                                <w:ind w:left="0" w:right="0" w:firstLine="0"/>
                              </w:pPr>
                              <w:r>
                                <w:rPr>
                                  <w:sz w:val="15"/>
                                </w:rPr>
                                <w:t xml:space="preserve"> </w:t>
                              </w:r>
                            </w:p>
                          </w:txbxContent>
                        </wps:txbx>
                        <wps:bodyPr horzOverflow="overflow" vert="horz" lIns="0" tIns="0" rIns="0" bIns="0" rtlCol="0">
                          <a:noAutofit/>
                        </wps:bodyPr>
                      </wps:wsp>
                      <wps:wsp>
                        <wps:cNvPr id="7175" name="Rectangle 7175"/>
                        <wps:cNvSpPr/>
                        <wps:spPr>
                          <a:xfrm rot="-5399999">
                            <a:off x="-101473" y="1050182"/>
                            <a:ext cx="1084402" cy="119074"/>
                          </a:xfrm>
                          <a:prstGeom prst="rect">
                            <a:avLst/>
                          </a:prstGeom>
                          <a:ln>
                            <a:noFill/>
                          </a:ln>
                        </wps:spPr>
                        <wps:txbx>
                          <w:txbxContent>
                            <w:p w14:paraId="6ABD93D2" w14:textId="77777777" w:rsidR="00DA61B0" w:rsidRDefault="001D14DA">
                              <w:pPr>
                                <w:spacing w:after="160" w:line="259" w:lineRule="auto"/>
                                <w:ind w:left="0" w:right="0" w:firstLine="0"/>
                              </w:pPr>
                              <w:r>
                                <w:rPr>
                                  <w:sz w:val="15"/>
                                </w:rPr>
                                <w:t>3</w:t>
                              </w:r>
                            </w:p>
                          </w:txbxContent>
                        </wps:txbx>
                        <wps:bodyPr horzOverflow="overflow" vert="horz" lIns="0" tIns="0" rIns="0" bIns="0" rtlCol="0">
                          <a:noAutofit/>
                        </wps:bodyPr>
                      </wps:wsp>
                      <wps:wsp>
                        <wps:cNvPr id="7176" name="Rectangle 7176"/>
                        <wps:cNvSpPr/>
                        <wps:spPr>
                          <a:xfrm rot="-5399999">
                            <a:off x="-509143" y="642512"/>
                            <a:ext cx="1084402" cy="119074"/>
                          </a:xfrm>
                          <a:prstGeom prst="rect">
                            <a:avLst/>
                          </a:prstGeom>
                          <a:ln>
                            <a:noFill/>
                          </a:ln>
                        </wps:spPr>
                        <wps:txbx>
                          <w:txbxContent>
                            <w:p w14:paraId="02C1F59E" w14:textId="77777777" w:rsidR="00DA61B0" w:rsidRDefault="001D14DA">
                              <w:pPr>
                                <w:spacing w:after="160" w:line="259" w:lineRule="auto"/>
                                <w:ind w:left="0" w:right="0" w:firstLine="0"/>
                              </w:pPr>
                              <w:r>
                                <w:rPr>
                                  <w:sz w:val="15"/>
                                </w:rPr>
                                <w:t>,5 t – zvláštní část</w:t>
                              </w:r>
                            </w:p>
                          </w:txbxContent>
                        </wps:txbx>
                        <wps:bodyPr horzOverflow="overflow" vert="horz" lIns="0" tIns="0" rIns="0" bIns="0" rtlCol="0">
                          <a:noAutofit/>
                        </wps:bodyPr>
                      </wps:wsp>
                      <wps:wsp>
                        <wps:cNvPr id="78" name="Rectangle 78"/>
                        <wps:cNvSpPr/>
                        <wps:spPr>
                          <a:xfrm rot="-5399999">
                            <a:off x="41928" y="378244"/>
                            <a:ext cx="35217" cy="119074"/>
                          </a:xfrm>
                          <a:prstGeom prst="rect">
                            <a:avLst/>
                          </a:prstGeom>
                          <a:ln>
                            <a:noFill/>
                          </a:ln>
                        </wps:spPr>
                        <wps:txbx>
                          <w:txbxContent>
                            <w:p w14:paraId="041A8833" w14:textId="77777777" w:rsidR="00DA61B0" w:rsidRDefault="001D14DA">
                              <w:pPr>
                                <w:spacing w:after="160" w:line="259" w:lineRule="auto"/>
                                <w:ind w:left="0" w:right="0" w:firstLine="0"/>
                              </w:pPr>
                              <w:r>
                                <w:rPr>
                                  <w:sz w:val="15"/>
                                </w:rPr>
                                <w:t xml:space="preserve"> </w:t>
                              </w:r>
                            </w:p>
                          </w:txbxContent>
                        </wps:txbx>
                        <wps:bodyPr horzOverflow="overflow" vert="horz" lIns="0" tIns="0" rIns="0" bIns="0" rtlCol="0">
                          <a:noAutofit/>
                        </wps:bodyPr>
                      </wps:wsp>
                      <wps:wsp>
                        <wps:cNvPr id="7173" name="Rectangle 7173"/>
                        <wps:cNvSpPr/>
                        <wps:spPr>
                          <a:xfrm rot="-5399999">
                            <a:off x="-105772" y="135103"/>
                            <a:ext cx="478733" cy="119074"/>
                          </a:xfrm>
                          <a:prstGeom prst="rect">
                            <a:avLst/>
                          </a:prstGeom>
                          <a:ln>
                            <a:noFill/>
                          </a:ln>
                        </wps:spPr>
                        <wps:txbx>
                          <w:txbxContent>
                            <w:p w14:paraId="3FC8E080" w14:textId="77777777" w:rsidR="00DA61B0" w:rsidRDefault="001D14DA">
                              <w:pPr>
                                <w:spacing w:after="160" w:line="259" w:lineRule="auto"/>
                                <w:ind w:left="0" w:right="0" w:firstLine="0"/>
                              </w:pPr>
                              <w:r>
                                <w:rPr>
                                  <w:sz w:val="15"/>
                                </w:rPr>
                                <w:t>0324</w:t>
                              </w:r>
                            </w:p>
                          </w:txbxContent>
                        </wps:txbx>
                        <wps:bodyPr horzOverflow="overflow" vert="horz" lIns="0" tIns="0" rIns="0" bIns="0" rtlCol="0">
                          <a:noAutofit/>
                        </wps:bodyPr>
                      </wps:wsp>
                      <wps:wsp>
                        <wps:cNvPr id="7174" name="Rectangle 7174"/>
                        <wps:cNvSpPr/>
                        <wps:spPr>
                          <a:xfrm rot="-5399999">
                            <a:off x="-285747" y="-44871"/>
                            <a:ext cx="478733" cy="119074"/>
                          </a:xfrm>
                          <a:prstGeom prst="rect">
                            <a:avLst/>
                          </a:prstGeom>
                          <a:ln>
                            <a:noFill/>
                          </a:ln>
                        </wps:spPr>
                        <wps:txbx>
                          <w:txbxContent>
                            <w:p w14:paraId="35C8C886" w14:textId="77777777" w:rsidR="00DA61B0" w:rsidRDefault="001D14DA">
                              <w:pPr>
                                <w:spacing w:after="160" w:line="259" w:lineRule="auto"/>
                                <w:ind w:left="0" w:right="0" w:firstLine="0"/>
                              </w:pPr>
                              <w:proofErr w:type="spellStart"/>
                              <w:r>
                                <w:rPr>
                                  <w:sz w:val="15"/>
                                </w:rPr>
                                <w:t>mik</w:t>
                              </w:r>
                              <w:proofErr w:type="spellEnd"/>
                            </w:p>
                          </w:txbxContent>
                        </wps:txbx>
                        <wps:bodyPr horzOverflow="overflow" vert="horz" lIns="0" tIns="0" rIns="0" bIns="0" rtlCol="0">
                          <a:noAutofit/>
                        </wps:bodyPr>
                      </wps:wsp>
                    </wpg:wgp>
                  </a:graphicData>
                </a:graphic>
              </wp:anchor>
            </w:drawing>
          </mc:Choice>
          <mc:Fallback xmlns:a="http://schemas.openxmlformats.org/drawingml/2006/main">
            <w:pict>
              <v:group id="Group 7241" style="width:7.04956pt;height:258.885pt;position:absolute;mso-position-horizontal-relative:page;mso-position-horizontal:absolute;margin-left:15.6951pt;mso-position-vertical-relative:page;margin-top:546.155pt;" coordsize="895,32878">
                <v:rect id="Rectangle 73" style="position:absolute;width:1759;height:1190;left:-284;top:31403;rotation:270;" filled="f" stroked="f">
                  <v:textbox inset="0,0,0,0" style="layout-flow:vertical;mso-layout-flow-alt:bottom-to-top">
                    <w:txbxContent>
                      <w:p>
                        <w:pPr>
                          <w:spacing w:before="0" w:after="160" w:line="259" w:lineRule="auto"/>
                          <w:ind w:left="0" w:right="0" w:firstLine="0"/>
                        </w:pPr>
                        <w:r>
                          <w:rPr>
                            <w:sz w:val="15"/>
                          </w:rPr>
                          <w:t xml:space="preserve">EU</w:t>
                        </w:r>
                      </w:p>
                    </w:txbxContent>
                  </v:textbox>
                </v:rect>
                <v:rect id="Rectangle 74" style="position:absolute;width:352;height:1190;left:419;top:30783;rotation:270;" filled="f" stroked="f">
                  <v:textbox inset="0,0,0,0" style="layout-flow:vertical;mso-layout-flow-alt:bottom-to-top">
                    <w:txbxContent>
                      <w:p>
                        <w:pPr>
                          <w:spacing w:before="0" w:after="160" w:line="259" w:lineRule="auto"/>
                          <w:ind w:left="0" w:right="0" w:firstLine="0"/>
                        </w:pPr>
                        <w:r>
                          <w:rPr>
                            <w:sz w:val="15"/>
                          </w:rPr>
                          <w:t xml:space="preserve"> </w:t>
                        </w:r>
                      </w:p>
                    </w:txbxContent>
                  </v:textbox>
                </v:rect>
                <v:rect id="Rectangle 75" style="position:absolute;width:24715;height:1190;left:-11762;top:18602;rotation:270;" filled="f" stroked="f">
                  <v:textbox inset="0,0,0,0" style="layout-flow:vertical;mso-layout-flow-alt:bottom-to-top">
                    <w:txbxContent>
                      <w:p>
                        <w:pPr>
                          <w:spacing w:before="0" w:after="160" w:line="259" w:lineRule="auto"/>
                          <w:ind w:left="0" w:right="0" w:firstLine="0"/>
                        </w:pPr>
                        <w:r>
                          <w:rPr>
                            <w:sz w:val="15"/>
                          </w:rPr>
                          <w:t xml:space="preserve">_4362_1_E _CZ_VPP_Asistence vozidel do</w:t>
                        </w:r>
                      </w:p>
                    </w:txbxContent>
                  </v:textbox>
                </v:rect>
                <v:rect id="Rectangle 76" style="position:absolute;width:352;height:1190;left:419;top:12200;rotation:270;" filled="f" stroked="f">
                  <v:textbox inset="0,0,0,0" style="layout-flow:vertical;mso-layout-flow-alt:bottom-to-top">
                    <w:txbxContent>
                      <w:p>
                        <w:pPr>
                          <w:spacing w:before="0" w:after="160" w:line="259" w:lineRule="auto"/>
                          <w:ind w:left="0" w:right="0" w:firstLine="0"/>
                        </w:pPr>
                        <w:r>
                          <w:rPr>
                            <w:sz w:val="15"/>
                          </w:rPr>
                          <w:t xml:space="preserve"> </w:t>
                        </w:r>
                      </w:p>
                    </w:txbxContent>
                  </v:textbox>
                </v:rect>
                <v:rect id="Rectangle 7175" style="position:absolute;width:10844;height:1190;left:-1014;top:10501;rotation:270;" filled="f" stroked="f">
                  <v:textbox inset="0,0,0,0" style="layout-flow:vertical;mso-layout-flow-alt:bottom-to-top">
                    <w:txbxContent>
                      <w:p>
                        <w:pPr>
                          <w:spacing w:before="0" w:after="160" w:line="259" w:lineRule="auto"/>
                          <w:ind w:left="0" w:right="0" w:firstLine="0"/>
                        </w:pPr>
                        <w:r>
                          <w:rPr>
                            <w:sz w:val="15"/>
                          </w:rPr>
                          <w:t xml:space="preserve">3</w:t>
                        </w:r>
                      </w:p>
                    </w:txbxContent>
                  </v:textbox>
                </v:rect>
                <v:rect id="Rectangle 7176" style="position:absolute;width:10844;height:1190;left:-5091;top:6425;rotation:270;" filled="f" stroked="f">
                  <v:textbox inset="0,0,0,0" style="layout-flow:vertical;mso-layout-flow-alt:bottom-to-top">
                    <w:txbxContent>
                      <w:p>
                        <w:pPr>
                          <w:spacing w:before="0" w:after="160" w:line="259" w:lineRule="auto"/>
                          <w:ind w:left="0" w:right="0" w:firstLine="0"/>
                        </w:pPr>
                        <w:r>
                          <w:rPr>
                            <w:sz w:val="15"/>
                          </w:rPr>
                          <w:t xml:space="preserve">,5 t – zvláštní část</w:t>
                        </w:r>
                      </w:p>
                    </w:txbxContent>
                  </v:textbox>
                </v:rect>
                <v:rect id="Rectangle 78" style="position:absolute;width:352;height:1190;left:419;top:3782;rotation:270;" filled="f" stroked="f">
                  <v:textbox inset="0,0,0,0" style="layout-flow:vertical;mso-layout-flow-alt:bottom-to-top">
                    <w:txbxContent>
                      <w:p>
                        <w:pPr>
                          <w:spacing w:before="0" w:after="160" w:line="259" w:lineRule="auto"/>
                          <w:ind w:left="0" w:right="0" w:firstLine="0"/>
                        </w:pPr>
                        <w:r>
                          <w:rPr>
                            <w:sz w:val="15"/>
                          </w:rPr>
                          <w:t xml:space="preserve"> </w:t>
                        </w:r>
                      </w:p>
                    </w:txbxContent>
                  </v:textbox>
                </v:rect>
                <v:rect id="Rectangle 7173" style="position:absolute;width:4787;height:1190;left:-1057;top:1351;rotation:270;" filled="f" stroked="f">
                  <v:textbox inset="0,0,0,0" style="layout-flow:vertical;mso-layout-flow-alt:bottom-to-top">
                    <w:txbxContent>
                      <w:p>
                        <w:pPr>
                          <w:spacing w:before="0" w:after="160" w:line="259" w:lineRule="auto"/>
                          <w:ind w:left="0" w:right="0" w:firstLine="0"/>
                        </w:pPr>
                        <w:r>
                          <w:rPr>
                            <w:sz w:val="15"/>
                          </w:rPr>
                          <w:t xml:space="preserve">0324</w:t>
                        </w:r>
                      </w:p>
                    </w:txbxContent>
                  </v:textbox>
                </v:rect>
                <v:rect id="Rectangle 7174" style="position:absolute;width:4787;height:1190;left:-2857;top:-448;rotation:270;" filled="f" stroked="f">
                  <v:textbox inset="0,0,0,0" style="layout-flow:vertical;mso-layout-flow-alt:bottom-to-top">
                    <w:txbxContent>
                      <w:p>
                        <w:pPr>
                          <w:spacing w:before="0" w:after="160" w:line="259" w:lineRule="auto"/>
                          <w:ind w:left="0" w:right="0" w:firstLine="0"/>
                        </w:pPr>
                        <w:r>
                          <w:rPr>
                            <w:sz w:val="15"/>
                          </w:rPr>
                          <w:t xml:space="preserve">mik</w:t>
                        </w:r>
                      </w:p>
                    </w:txbxContent>
                  </v:textbox>
                </v:rect>
                <w10:wrap type="square"/>
              </v:group>
            </w:pict>
          </mc:Fallback>
        </mc:AlternateContent>
      </w:r>
      <w:r>
        <w:t>Asistence je poskytována oprávněným osobám celoročně, a to 24 hodin denně.</w:t>
      </w:r>
    </w:p>
    <w:p w14:paraId="4A93F954" w14:textId="77777777" w:rsidR="00DA61B0" w:rsidRDefault="001D14DA">
      <w:pPr>
        <w:pStyle w:val="Nadpis1"/>
        <w:ind w:left="-5"/>
      </w:pPr>
      <w:r>
        <w:t xml:space="preserve">Článek 2 </w:t>
      </w:r>
    </w:p>
    <w:p w14:paraId="29D0E595" w14:textId="77777777" w:rsidR="00DA61B0" w:rsidRDefault="001D14DA">
      <w:pPr>
        <w:pStyle w:val="Nadpis2"/>
        <w:ind w:left="-5"/>
      </w:pPr>
      <w:r>
        <w:t>Výklad pojmů</w:t>
      </w:r>
    </w:p>
    <w:p w14:paraId="4E044558" w14:textId="77777777" w:rsidR="00DA61B0" w:rsidRDefault="001D14DA">
      <w:pPr>
        <w:ind w:left="-5" w:right="0"/>
      </w:pPr>
      <w:r>
        <w:t>Mimo pojmů definovaných v čl. 2 Všeobecných pojistných podmínek pojištění vozidel – zvláštní část UCZ/Voz/24 platí pro pojištění Asistence vozidel ještě níže uvedené pojmy:</w:t>
      </w:r>
    </w:p>
    <w:p w14:paraId="14E50DFF" w14:textId="77777777" w:rsidR="00DA61B0" w:rsidRDefault="001D14DA">
      <w:pPr>
        <w:numPr>
          <w:ilvl w:val="0"/>
          <w:numId w:val="2"/>
        </w:numPr>
        <w:ind w:right="0" w:hanging="397"/>
      </w:pPr>
      <w:r>
        <w:t xml:space="preserve">Náhradním vozidlem se rozumí vozidlo kategorie B, např. Škoda Fabia, Opel </w:t>
      </w:r>
      <w:proofErr w:type="spellStart"/>
      <w:r>
        <w:t>Corsa</w:t>
      </w:r>
      <w:proofErr w:type="spellEnd"/>
      <w:r>
        <w:t>, Ford Fiesta apod. Některé autopůjčovny vyžadují složení kauce buď v hotovosti, nebo platební (kreditní) kartou za poskytnutí náhradního vozidla. Tuto kauci hradí oprávněná osoba, nikoliv asistenční služba. V případě nezaplacení kauce autopůjčovna náhradní vozidlo neposkytne.</w:t>
      </w:r>
    </w:p>
    <w:p w14:paraId="3256BEFD" w14:textId="77777777" w:rsidR="00DA61B0" w:rsidRDefault="001D14DA">
      <w:pPr>
        <w:numPr>
          <w:ilvl w:val="0"/>
          <w:numId w:val="2"/>
        </w:numPr>
        <w:ind w:right="0" w:hanging="397"/>
      </w:pPr>
      <w:r>
        <w:t>Nárok na právní ochranu při regresním vymáhání újmy a v případném soudním řízení se provádí v případě škody způsobené pojištěnému příslušníkem cizího státu na území tohoto státu. Asistenční služba provede regresní vymáhání škody bez nároků na honorář. Klient hradí pouze případné náklady na zahraniční právní kancelář v případě soudního řízení.</w:t>
      </w:r>
    </w:p>
    <w:p w14:paraId="44E9B119" w14:textId="77777777" w:rsidR="00DA61B0" w:rsidRDefault="001D14DA">
      <w:pPr>
        <w:numPr>
          <w:ilvl w:val="0"/>
          <w:numId w:val="2"/>
        </w:numPr>
        <w:ind w:right="0" w:hanging="397"/>
      </w:pPr>
      <w:r>
        <w:t>Chybou řidiče se rozumí nepojízdnost pojištěného vozidla z důvodu zabouchnutí, ztráty či poškození klíčů od vozidla, z důvodu poškození zámků od vozidla, z důvodu defektu pneumatiky, vybité baterie a z důvodu vyčerpání či záměny paliva.</w:t>
      </w:r>
    </w:p>
    <w:p w14:paraId="543BE6F8" w14:textId="77777777" w:rsidR="00DA61B0" w:rsidRDefault="001D14DA">
      <w:pPr>
        <w:numPr>
          <w:ilvl w:val="0"/>
          <w:numId w:val="2"/>
        </w:numPr>
        <w:ind w:right="0" w:hanging="397"/>
      </w:pPr>
      <w:r>
        <w:t>Odtahem vozidla se rozumí odtah do nejbližší opravny; pokud je vozidlo v záruce, tak do nejbližšího autorizovaného servisu. Při odtahu v ČR je to odtah do smluvního servisu pojistitele. Při odtahu ze zahraničí do ČR se posuzuje ekonomičnost odtahu.</w:t>
      </w:r>
    </w:p>
    <w:p w14:paraId="19189E99" w14:textId="77777777" w:rsidR="00DA61B0" w:rsidRDefault="001D14DA">
      <w:pPr>
        <w:numPr>
          <w:ilvl w:val="0"/>
          <w:numId w:val="2"/>
        </w:numPr>
        <w:ind w:right="0" w:hanging="397"/>
      </w:pPr>
      <w:r>
        <w:t xml:space="preserve">Oprávněnou osobou se rozumí řidič i osoby přepravované v pojištěném vozidle, kdy maximální počet přepravovaných osob při jedné pojistné události je dán počtem sedadel uvedených v technickém průkazu. </w:t>
      </w:r>
      <w:r>
        <w:rPr>
          <w:b/>
        </w:rPr>
        <w:t>Oprávněnou osobou nejsou stopaři a osoby přepravované za úplatu.</w:t>
      </w:r>
    </w:p>
    <w:p w14:paraId="608919A3" w14:textId="77777777" w:rsidR="00DA61B0" w:rsidRDefault="001D14DA">
      <w:pPr>
        <w:numPr>
          <w:ilvl w:val="0"/>
          <w:numId w:val="2"/>
        </w:numPr>
        <w:spacing w:after="762"/>
        <w:ind w:right="0" w:hanging="397"/>
      </w:pPr>
      <w:r>
        <w:t>Pojistnou událostí je nepojízdnost pojištěného vozidla způsobená výhradně událostí definovanou v čl. 5, bodu 6 UCZ/Voz/24 a dále ještě poruchou či chybou řidiče. Za pojistnou událost se považuje rovněž nemožnost pokračování v cestě pojištěného přípojného vozidla v případě nepojízdnosti tažného vozidla.</w:t>
      </w:r>
    </w:p>
    <w:p w14:paraId="06A97C0D" w14:textId="77777777" w:rsidR="00DA61B0" w:rsidRDefault="001D14DA">
      <w:pPr>
        <w:tabs>
          <w:tab w:val="center" w:pos="4278"/>
          <w:tab w:val="center" w:pos="6422"/>
        </w:tabs>
        <w:spacing w:after="30"/>
        <w:ind w:left="-15" w:right="0" w:firstLine="0"/>
      </w:pPr>
      <w:r>
        <w:lastRenderedPageBreak/>
        <w:t>UNIQA linka +420 488 125 125</w:t>
      </w:r>
      <w:r>
        <w:tab/>
        <w:t>e-mail: info@uniqa.cz</w:t>
      </w:r>
      <w:r>
        <w:tab/>
        <w:t>www.uniqa.cz</w:t>
      </w:r>
    </w:p>
    <w:p w14:paraId="2F08BF89" w14:textId="77777777" w:rsidR="00DA61B0" w:rsidRDefault="001D14DA">
      <w:pPr>
        <w:ind w:left="-5" w:right="103"/>
      </w:pPr>
      <w:r>
        <w:t xml:space="preserve">UNIQA pojišťovna, a.s., se sídlem Evropská 810/136, 160 00 Praha 6, Česká republika, IČO: 492 40 </w:t>
      </w:r>
      <w:proofErr w:type="gramStart"/>
      <w:r>
        <w:t>480,  společnost</w:t>
      </w:r>
      <w:proofErr w:type="gramEnd"/>
      <w:r>
        <w:t xml:space="preserve"> je zapsána v obchodním rejstříku vedeném Městským soudem v Praze, oddíl B, vložka 2012</w:t>
      </w:r>
    </w:p>
    <w:p w14:paraId="7DA8C92D" w14:textId="77777777" w:rsidR="00DA61B0" w:rsidRDefault="001D14DA">
      <w:pPr>
        <w:numPr>
          <w:ilvl w:val="0"/>
          <w:numId w:val="2"/>
        </w:numPr>
        <w:ind w:right="0" w:hanging="397"/>
      </w:pPr>
      <w:r>
        <w:t>Poruchou se rozumí stav, kdy vozidlo je nepojízdné nebo nezpůsobilé k provozu na pozemních komunikacích podle příslušných předpisů z důvodu opotřebení nebo poškození součástí motorového vozidla, způsobených vlastní funkcí jednotlivých součástí vozidla, chybnou montáží, únavou materiálu. Poruchou není systematická obnova vozidla, jeho údržba (periodická nebo jiná), technická prohlídka, instalace dodatkových zařízení ani nedostatek v povinných doplňcích vozidla.</w:t>
      </w:r>
    </w:p>
    <w:p w14:paraId="4F3ABE74" w14:textId="77777777" w:rsidR="00DA61B0" w:rsidRDefault="001D14DA">
      <w:pPr>
        <w:numPr>
          <w:ilvl w:val="0"/>
          <w:numId w:val="2"/>
        </w:numPr>
        <w:ind w:right="0" w:hanging="397"/>
      </w:pPr>
      <w:r>
        <w:t>Vznik, trvání a zánik pojištění – Pojištění asistence pro vozidla do 3,5 t vzniká sjednáním pojištění asistence, trvá po dobu platnosti tohoto pojištění a zaniká okamžikem zániku pojistné smlouvy nebo na základě žádosti klienta. Není-li ve smlouvě sjednána konkrétní varianta asistence, a není-li ve smlouvě uvedeno jinak, je součástí každého POV asistence základní.</w:t>
      </w:r>
    </w:p>
    <w:p w14:paraId="1BA952C4" w14:textId="77777777" w:rsidR="00DA61B0" w:rsidRDefault="001D14DA">
      <w:pPr>
        <w:numPr>
          <w:ilvl w:val="0"/>
          <w:numId w:val="2"/>
        </w:numPr>
        <w:ind w:right="0" w:hanging="397"/>
      </w:pPr>
      <w:r>
        <w:t>Záloha, půjčka a kauce jsou finanční prostředky, které asistenční služba poskytne oprávněné osobě. Tyto úhrady budou poskytnuty za podmínky řádného zajištění třetí osobou nebo pojistitelem a budou považovány za půjčku poskytnutou asistenční službou pojištěnému, který ji asistenční službě vrátí v plné výši nejdéle do dvou měsíců ode dne poskytnutí.</w:t>
      </w:r>
    </w:p>
    <w:p w14:paraId="49D8EEE3" w14:textId="77777777" w:rsidR="00DA61B0" w:rsidRDefault="001D14DA">
      <w:pPr>
        <w:numPr>
          <w:ilvl w:val="0"/>
          <w:numId w:val="2"/>
        </w:numPr>
        <w:spacing w:after="0" w:line="250" w:lineRule="auto"/>
        <w:ind w:right="0" w:hanging="397"/>
      </w:pPr>
      <w:r>
        <w:t>Organizace služby (ORG) je způsob pojistného plnění, kdy pojistitel prostřednictvím asistenční služby pojistitele zorganizuje zásah dodavatele služeb, přičemž náklady na tento zásah nese oprávněná osoba ze svých vlastních prostředků.</w:t>
      </w:r>
    </w:p>
    <w:p w14:paraId="22515175" w14:textId="77777777" w:rsidR="00DA61B0" w:rsidRDefault="001D14DA">
      <w:pPr>
        <w:numPr>
          <w:ilvl w:val="0"/>
          <w:numId w:val="2"/>
        </w:numPr>
        <w:ind w:right="0" w:hanging="397"/>
      </w:pPr>
      <w:r>
        <w:t>Organizace a úhrada služby je způsob pojistného plnění, kdy pojistitel nejen zorganizuje zásah dodavatele služeb, ale i uhradí náklady na tento zásah až do výše příslušného limitu pojistného plnění.</w:t>
      </w:r>
    </w:p>
    <w:p w14:paraId="24AECAED" w14:textId="77777777" w:rsidR="00DA61B0" w:rsidRDefault="001D14DA">
      <w:pPr>
        <w:numPr>
          <w:ilvl w:val="0"/>
          <w:numId w:val="2"/>
        </w:numPr>
        <w:spacing w:after="303"/>
        <w:ind w:right="0" w:hanging="397"/>
      </w:pPr>
      <w:r>
        <w:t>Dodavatel služeb je smluvní partner asistenční služby pojistitele, který zajišťuje potřebné služby nezbytné k poskytnutí pojistného plnění (např. odtahová služba).</w:t>
      </w:r>
    </w:p>
    <w:p w14:paraId="60AB9C45" w14:textId="77777777" w:rsidR="00DA61B0" w:rsidRDefault="001D14DA">
      <w:pPr>
        <w:pStyle w:val="Nadpis1"/>
        <w:ind w:left="-5"/>
      </w:pPr>
      <w:r>
        <w:t>Článek 3</w:t>
      </w:r>
    </w:p>
    <w:p w14:paraId="3296E96B" w14:textId="77777777" w:rsidR="00DA61B0" w:rsidRDefault="001D14DA">
      <w:pPr>
        <w:pStyle w:val="Nadpis2"/>
        <w:ind w:left="-5"/>
      </w:pPr>
      <w:r>
        <w:t>Rozsah pojištění</w:t>
      </w:r>
    </w:p>
    <w:p w14:paraId="62858C5B" w14:textId="77777777" w:rsidR="00DA61B0" w:rsidRDefault="001D14DA">
      <w:pPr>
        <w:tabs>
          <w:tab w:val="center" w:pos="4222"/>
        </w:tabs>
        <w:ind w:left="-15" w:right="0" w:firstLine="0"/>
      </w:pPr>
      <w:r>
        <w:t xml:space="preserve">1. </w:t>
      </w:r>
      <w:r>
        <w:tab/>
        <w:t>Pojištění asistence při pojistné události podle těchto VPP je poskytováno ve variantách:</w:t>
      </w:r>
    </w:p>
    <w:p w14:paraId="38665AC6" w14:textId="77777777" w:rsidR="00DA61B0" w:rsidRDefault="001D14DA">
      <w:pPr>
        <w:numPr>
          <w:ilvl w:val="0"/>
          <w:numId w:val="3"/>
        </w:numPr>
        <w:ind w:right="0" w:hanging="283"/>
      </w:pPr>
      <w:r>
        <w:t>Základní asistence UNIQA (článek 5)</w:t>
      </w:r>
    </w:p>
    <w:p w14:paraId="49B51DFE" w14:textId="77777777" w:rsidR="00DA61B0" w:rsidRDefault="001D14DA">
      <w:pPr>
        <w:numPr>
          <w:ilvl w:val="0"/>
          <w:numId w:val="3"/>
        </w:numPr>
        <w:ind w:right="0" w:hanging="283"/>
      </w:pPr>
      <w:r>
        <w:t>Komfort asistence UNIQA (článek 6)</w:t>
      </w:r>
    </w:p>
    <w:p w14:paraId="444C7EBA" w14:textId="77777777" w:rsidR="00DA61B0" w:rsidRDefault="001D14DA">
      <w:pPr>
        <w:numPr>
          <w:ilvl w:val="0"/>
          <w:numId w:val="3"/>
        </w:numPr>
        <w:ind w:right="0" w:hanging="283"/>
      </w:pPr>
      <w:r>
        <w:t>Super asistence UNIQA (článek 7)</w:t>
      </w:r>
    </w:p>
    <w:p w14:paraId="45A67D29" w14:textId="77777777" w:rsidR="00DA61B0" w:rsidRDefault="001D14DA">
      <w:pPr>
        <w:numPr>
          <w:ilvl w:val="0"/>
          <w:numId w:val="3"/>
        </w:numPr>
        <w:spacing w:after="302"/>
        <w:ind w:right="0" w:hanging="283"/>
      </w:pPr>
      <w:proofErr w:type="spellStart"/>
      <w:r>
        <w:t>Bezlimitní</w:t>
      </w:r>
      <w:proofErr w:type="spellEnd"/>
      <w:r>
        <w:t xml:space="preserve"> asistence UNIQA (článek 8)</w:t>
      </w:r>
    </w:p>
    <w:p w14:paraId="1F1C74B3" w14:textId="77777777" w:rsidR="00DA61B0" w:rsidRDefault="001D14DA">
      <w:pPr>
        <w:pStyle w:val="Nadpis1"/>
        <w:ind w:left="-5"/>
      </w:pPr>
      <w:r>
        <w:t>Článek 4</w:t>
      </w:r>
    </w:p>
    <w:p w14:paraId="21B5B299" w14:textId="77777777" w:rsidR="00DA61B0" w:rsidRDefault="001D14DA">
      <w:pPr>
        <w:pStyle w:val="Nadpis2"/>
        <w:ind w:left="-5"/>
      </w:pPr>
      <w:r>
        <w:t>Rozsah asistence, společná ujednání</w:t>
      </w:r>
    </w:p>
    <w:p w14:paraId="52915A91" w14:textId="77777777" w:rsidR="00DA61B0" w:rsidRDefault="001D14DA">
      <w:pPr>
        <w:tabs>
          <w:tab w:val="center" w:pos="2561"/>
        </w:tabs>
        <w:ind w:left="-15" w:right="0" w:firstLine="0"/>
      </w:pPr>
      <w:r>
        <w:t xml:space="preserve">1) </w:t>
      </w:r>
      <w:r>
        <w:tab/>
        <w:t>Z pojištění asistence má oprávněná osoba nárok:</w:t>
      </w:r>
    </w:p>
    <w:p w14:paraId="2D4C555A" w14:textId="77777777" w:rsidR="00DA61B0" w:rsidRDefault="001D14DA">
      <w:pPr>
        <w:numPr>
          <w:ilvl w:val="0"/>
          <w:numId w:val="4"/>
        </w:numPr>
        <w:ind w:right="0" w:hanging="283"/>
      </w:pPr>
      <w:r>
        <w:t xml:space="preserve">na </w:t>
      </w:r>
      <w:proofErr w:type="spellStart"/>
      <w:r>
        <w:t>předcestovní</w:t>
      </w:r>
      <w:proofErr w:type="spellEnd"/>
      <w:r>
        <w:t xml:space="preserve"> asistenci (informace o vízech, měnových kurzech, rady v situaci nouze, lékařské informace o nutnosti očkování, informace o poplatcích na dálnicích, mýtném)</w:t>
      </w:r>
    </w:p>
    <w:p w14:paraId="64732E04" w14:textId="77777777" w:rsidR="00DA61B0" w:rsidRDefault="001D14DA">
      <w:pPr>
        <w:numPr>
          <w:ilvl w:val="0"/>
          <w:numId w:val="4"/>
        </w:numPr>
        <w:ind w:right="0" w:hanging="283"/>
      </w:pPr>
      <w:r>
        <w:t>na telefonickou pomoc v nouzi (rady v případě pojistné události, rady při vyplňování dokladů, vyhledávání dodavatelů služeb, ohlášení pojistné události pojišťovně, předání vzkazů rodině, zaměstnavateli)</w:t>
      </w:r>
    </w:p>
    <w:p w14:paraId="31B944DE" w14:textId="77777777" w:rsidR="00DA61B0" w:rsidRDefault="001D14DA">
      <w:pPr>
        <w:numPr>
          <w:ilvl w:val="0"/>
          <w:numId w:val="4"/>
        </w:numPr>
        <w:ind w:right="0" w:hanging="283"/>
      </w:pPr>
      <w:r>
        <w:t>na telefonické tlumočení a překlady (při celním řízení, telefonické překlady a rady při vyplňování dokladů, okamžité telefonické tlumočení při styku s policií, při silniční kontrole; zorganizování tlumočníka pro policejní šetření)</w:t>
      </w:r>
    </w:p>
    <w:p w14:paraId="2B93C454" w14:textId="77777777" w:rsidR="00DA61B0" w:rsidRDefault="001D14DA">
      <w:pPr>
        <w:numPr>
          <w:ilvl w:val="0"/>
          <w:numId w:val="4"/>
        </w:numPr>
        <w:ind w:right="0" w:hanging="283"/>
      </w:pPr>
      <w:r>
        <w:t xml:space="preserve">na zorganizování lékařské asistence (převoz zraněného a hospitalizace do nejbližšího místa od pojistné události, převoz zraněného do lékařského zařízení v ČR); </w:t>
      </w:r>
      <w:r>
        <w:rPr>
          <w:b/>
        </w:rPr>
        <w:t>léčebné náklady v cizině hradí oprávněná osoba</w:t>
      </w:r>
    </w:p>
    <w:p w14:paraId="5EDF8F86" w14:textId="77777777" w:rsidR="00DA61B0" w:rsidRDefault="001D14DA">
      <w:pPr>
        <w:numPr>
          <w:ilvl w:val="0"/>
          <w:numId w:val="4"/>
        </w:numPr>
        <w:ind w:right="0" w:hanging="283"/>
      </w:pPr>
      <w:r>
        <w:t>v případě úmrtí oprávněné osoby v zahraničí zorganizuje asistenční služba repatriaci tělesných ostatků do ČR, kremaci a přepravu urny do ČR, příp. zajistí pohřeb v zemi pojistné události</w:t>
      </w:r>
    </w:p>
    <w:p w14:paraId="4191ECAF" w14:textId="77777777" w:rsidR="00DA61B0" w:rsidRDefault="001D14DA">
      <w:pPr>
        <w:numPr>
          <w:ilvl w:val="0"/>
          <w:numId w:val="4"/>
        </w:numPr>
        <w:spacing w:after="303"/>
        <w:ind w:right="0" w:hanging="283"/>
      </w:pPr>
      <w:r>
        <w:t xml:space="preserve">na zorganizování nákupu a odeslání náhradních dílů v případech, kdy tyto nejsou dostupné v místě opravy v zahraničí; </w:t>
      </w:r>
      <w:r>
        <w:rPr>
          <w:b/>
        </w:rPr>
        <w:t>oprávněná osoba hradí nákupní cenu těchto dílů</w:t>
      </w:r>
      <w:r>
        <w:t>.</w:t>
      </w:r>
    </w:p>
    <w:p w14:paraId="1631C9B9" w14:textId="77777777" w:rsidR="00DA61B0" w:rsidRDefault="001D14DA">
      <w:pPr>
        <w:pStyle w:val="Nadpis1"/>
        <w:ind w:left="-5"/>
      </w:pPr>
      <w:r>
        <w:t>Článek 5</w:t>
      </w:r>
    </w:p>
    <w:p w14:paraId="0F147103" w14:textId="77777777" w:rsidR="00DA61B0" w:rsidRDefault="001D14DA">
      <w:pPr>
        <w:pStyle w:val="Nadpis2"/>
        <w:ind w:left="-5"/>
      </w:pPr>
      <w:r>
        <w:t>Rozsah základní asistence UNIQA</w:t>
      </w:r>
    </w:p>
    <w:p w14:paraId="1E40396A" w14:textId="77777777" w:rsidR="00DA61B0" w:rsidRDefault="001D14DA">
      <w:pPr>
        <w:numPr>
          <w:ilvl w:val="0"/>
          <w:numId w:val="5"/>
        </w:numPr>
        <w:ind w:right="14" w:hanging="397"/>
      </w:pPr>
      <w:r>
        <w:t xml:space="preserve">V případě pojistné události pojistitel prostřednictvím asistenční služby zorganizuje, případně zorganizuje a uhradí asistenční služby až do výše limitů pojistného plnění uvedených v bodu 3 tohoto článku: a) opravu nepojízdného vozidla na místě události, </w:t>
      </w:r>
      <w:r>
        <w:rPr>
          <w:b/>
        </w:rPr>
        <w:t>nebo</w:t>
      </w:r>
    </w:p>
    <w:p w14:paraId="20E74943" w14:textId="77777777" w:rsidR="00DA61B0" w:rsidRDefault="001D14DA">
      <w:pPr>
        <w:numPr>
          <w:ilvl w:val="1"/>
          <w:numId w:val="6"/>
        </w:numPr>
        <w:ind w:right="0" w:hanging="283"/>
      </w:pPr>
      <w:r>
        <w:t xml:space="preserve">odtah do nejbližší smluvní opravny nebo do nejbližší opravny, pokud k pojistné události došlo v zahraničí </w:t>
      </w:r>
      <w:r>
        <w:rPr>
          <w:b/>
        </w:rPr>
        <w:t>nebo</w:t>
      </w:r>
    </w:p>
    <w:p w14:paraId="63F25A31" w14:textId="77777777" w:rsidR="00DA61B0" w:rsidRDefault="001D14DA">
      <w:pPr>
        <w:numPr>
          <w:ilvl w:val="1"/>
          <w:numId w:val="6"/>
        </w:numPr>
        <w:ind w:right="0" w:hanging="283"/>
      </w:pPr>
      <w:r>
        <w:t>uskladnění nepojízdného vozidla na bezpečném místě v případě, že odtah do opravny není z objektivních důvodů možný (např. večerní hodiny, svátek atp.).</w:t>
      </w:r>
    </w:p>
    <w:p w14:paraId="637AF53F" w14:textId="77777777" w:rsidR="00DA61B0" w:rsidRDefault="001D14DA">
      <w:pPr>
        <w:numPr>
          <w:ilvl w:val="0"/>
          <w:numId w:val="5"/>
        </w:numPr>
        <w:ind w:right="14" w:hanging="397"/>
      </w:pPr>
      <w:r>
        <w:lastRenderedPageBreak/>
        <w:t>V případě, že vozidlo není opravitelné týž den, pojistitel prostřednictvím asistenční služby zorganizuje, případně zorganizuje a uhradí níže uvedené asistenční služby až do výše limitů pojistného plnění uvedených v bodu 3 tohoto článku:</w:t>
      </w:r>
    </w:p>
    <w:p w14:paraId="7F1F5DDB" w14:textId="77777777" w:rsidR="00DA61B0" w:rsidRDefault="001D14DA">
      <w:pPr>
        <w:numPr>
          <w:ilvl w:val="1"/>
          <w:numId w:val="5"/>
        </w:numPr>
        <w:ind w:right="0" w:hanging="283"/>
      </w:pPr>
      <w:r>
        <w:t xml:space="preserve">náhradní ubytování v hotelu, </w:t>
      </w:r>
      <w:r>
        <w:rPr>
          <w:b/>
        </w:rPr>
        <w:t>nebo</w:t>
      </w:r>
    </w:p>
    <w:p w14:paraId="716090F1" w14:textId="77777777" w:rsidR="00DA61B0" w:rsidRDefault="001D14DA">
      <w:pPr>
        <w:numPr>
          <w:ilvl w:val="1"/>
          <w:numId w:val="5"/>
        </w:numPr>
        <w:ind w:right="0" w:hanging="283"/>
      </w:pPr>
      <w:r>
        <w:t>náhradní vozidlo kategorie B (součástí pojistného plnění není služba přistavení a odstavení náhradního vozidla)</w:t>
      </w:r>
    </w:p>
    <w:p w14:paraId="20A56D75" w14:textId="77777777" w:rsidR="00DA61B0" w:rsidRDefault="001D14DA">
      <w:pPr>
        <w:numPr>
          <w:ilvl w:val="1"/>
          <w:numId w:val="5"/>
        </w:numPr>
        <w:ind w:right="0" w:hanging="283"/>
      </w:pPr>
      <w:r>
        <w:t xml:space="preserve">repatriaci nepojízdného vozidla do ČR v případě, že by oprava nepojízdného vozidla v zahraničí trvala déle než </w:t>
      </w:r>
    </w:p>
    <w:p w14:paraId="0564D762" w14:textId="77777777" w:rsidR="00DA61B0" w:rsidRDefault="001D14DA">
      <w:pPr>
        <w:ind w:left="690" w:right="0"/>
      </w:pPr>
      <w:r>
        <w:t>7 dní</w:t>
      </w:r>
    </w:p>
    <w:p w14:paraId="08A76EB9" w14:textId="77777777" w:rsidR="00DA61B0" w:rsidRDefault="001D14DA">
      <w:pPr>
        <w:numPr>
          <w:ilvl w:val="1"/>
          <w:numId w:val="5"/>
        </w:numPr>
        <w:ind w:right="0" w:hanging="283"/>
      </w:pPr>
      <w:r>
        <w:t>sešrotování vraku pojištěného vozidla v případě, že jeho oprava v zahraničí není možná či vhodná, a to včetně pomoci s vyřízením zákonem požadované dokumentace</w:t>
      </w:r>
    </w:p>
    <w:p w14:paraId="1A4F5174" w14:textId="77777777" w:rsidR="00DA61B0" w:rsidRDefault="001D14DA">
      <w:pPr>
        <w:numPr>
          <w:ilvl w:val="1"/>
          <w:numId w:val="5"/>
        </w:numPr>
        <w:spacing w:after="2"/>
        <w:ind w:right="0" w:hanging="283"/>
      </w:pPr>
      <w:r>
        <w:rPr>
          <w:b/>
        </w:rPr>
        <w:t>poskytnutí zajištěné půjčky na složení kauce v případě při zadržení, vzetí do vazby či uvěznění v zahraničí. Nárok na poskytnutí záruky nebo kauce se nevztahuje na soudní řízení z důvodu trestné činnosti, řízení pod vlivem alkoholu, použitím návykové látky nebo přípravku takovou látku obsahující, které ovlivňují závažným způsobem způsobilost pojištěného k řízení dopravního prostředku.</w:t>
      </w:r>
    </w:p>
    <w:p w14:paraId="6FF482FD" w14:textId="77777777" w:rsidR="00DA61B0" w:rsidRDefault="001D14DA">
      <w:pPr>
        <w:numPr>
          <w:ilvl w:val="0"/>
          <w:numId w:val="5"/>
        </w:numPr>
        <w:spacing w:after="2"/>
        <w:ind w:right="14" w:hanging="397"/>
      </w:pPr>
      <w:r>
        <w:rPr>
          <w:b/>
        </w:rPr>
        <w:t>Limity pojistného plnění.</w:t>
      </w:r>
    </w:p>
    <w:p w14:paraId="1252186D" w14:textId="77777777" w:rsidR="00DA61B0" w:rsidRDefault="001D14DA">
      <w:pPr>
        <w:spacing w:after="2"/>
        <w:ind w:left="397" w:right="14" w:hanging="397"/>
      </w:pPr>
      <w:r>
        <w:rPr>
          <w:b/>
        </w:rPr>
        <w:t xml:space="preserve"> </w:t>
      </w:r>
      <w:r>
        <w:rPr>
          <w:b/>
        </w:rPr>
        <w:tab/>
        <w:t>Uvedený limit pro pojistné plnění se omezuje při poruchách vozidla a chybách řidiče na jeden asistenční zásah v jednom pojistném roce.</w:t>
      </w:r>
    </w:p>
    <w:tbl>
      <w:tblPr>
        <w:tblStyle w:val="TableGrid"/>
        <w:tblW w:w="10035" w:type="dxa"/>
        <w:tblInd w:w="397" w:type="dxa"/>
        <w:tblCellMar>
          <w:top w:w="85" w:type="dxa"/>
          <w:left w:w="0" w:type="dxa"/>
          <w:bottom w:w="0" w:type="dxa"/>
          <w:right w:w="115" w:type="dxa"/>
        </w:tblCellMar>
        <w:tblLook w:val="04A0" w:firstRow="1" w:lastRow="0" w:firstColumn="1" w:lastColumn="0" w:noHBand="0" w:noVBand="1"/>
      </w:tblPr>
      <w:tblGrid>
        <w:gridCol w:w="3430"/>
        <w:gridCol w:w="3345"/>
        <w:gridCol w:w="3260"/>
      </w:tblGrid>
      <w:tr w:rsidR="00DA61B0" w14:paraId="655A47C1" w14:textId="77777777">
        <w:trPr>
          <w:trHeight w:val="316"/>
        </w:trPr>
        <w:tc>
          <w:tcPr>
            <w:tcW w:w="3430" w:type="dxa"/>
            <w:tcBorders>
              <w:top w:val="nil"/>
              <w:left w:val="nil"/>
              <w:bottom w:val="nil"/>
              <w:right w:val="nil"/>
            </w:tcBorders>
            <w:shd w:val="clear" w:color="auto" w:fill="005CA9"/>
          </w:tcPr>
          <w:p w14:paraId="727FD274" w14:textId="77777777" w:rsidR="00DA61B0" w:rsidRDefault="00DA61B0">
            <w:pPr>
              <w:spacing w:after="160" w:line="259" w:lineRule="auto"/>
              <w:ind w:left="0" w:right="0" w:firstLine="0"/>
            </w:pPr>
          </w:p>
        </w:tc>
        <w:tc>
          <w:tcPr>
            <w:tcW w:w="3345" w:type="dxa"/>
            <w:tcBorders>
              <w:top w:val="nil"/>
              <w:left w:val="nil"/>
              <w:bottom w:val="nil"/>
              <w:right w:val="nil"/>
            </w:tcBorders>
            <w:shd w:val="clear" w:color="auto" w:fill="005CA9"/>
          </w:tcPr>
          <w:p w14:paraId="2CB9A992" w14:textId="77777777" w:rsidR="00DA61B0" w:rsidRDefault="001D14DA">
            <w:pPr>
              <w:spacing w:after="0" w:line="259" w:lineRule="auto"/>
              <w:ind w:left="439" w:right="0" w:firstLine="0"/>
            </w:pPr>
            <w:r>
              <w:rPr>
                <w:b/>
                <w:color w:val="FFFFFF"/>
              </w:rPr>
              <w:t>Limity pojistného plnění</w:t>
            </w:r>
          </w:p>
        </w:tc>
        <w:tc>
          <w:tcPr>
            <w:tcW w:w="3260" w:type="dxa"/>
            <w:tcBorders>
              <w:top w:val="nil"/>
              <w:left w:val="nil"/>
              <w:bottom w:val="nil"/>
              <w:right w:val="nil"/>
            </w:tcBorders>
            <w:shd w:val="clear" w:color="auto" w:fill="005CA9"/>
          </w:tcPr>
          <w:p w14:paraId="69AB2293" w14:textId="77777777" w:rsidR="00DA61B0" w:rsidRDefault="00DA61B0">
            <w:pPr>
              <w:spacing w:after="160" w:line="259" w:lineRule="auto"/>
              <w:ind w:left="0" w:right="0" w:firstLine="0"/>
            </w:pPr>
          </w:p>
        </w:tc>
      </w:tr>
      <w:tr w:rsidR="00DA61B0" w14:paraId="56811CF0" w14:textId="77777777">
        <w:trPr>
          <w:trHeight w:val="316"/>
        </w:trPr>
        <w:tc>
          <w:tcPr>
            <w:tcW w:w="3430" w:type="dxa"/>
            <w:tcBorders>
              <w:top w:val="nil"/>
              <w:left w:val="nil"/>
              <w:bottom w:val="nil"/>
              <w:right w:val="nil"/>
            </w:tcBorders>
            <w:shd w:val="clear" w:color="auto" w:fill="0081C6"/>
          </w:tcPr>
          <w:p w14:paraId="537F9599" w14:textId="77777777" w:rsidR="00DA61B0" w:rsidRDefault="001D14DA">
            <w:pPr>
              <w:spacing w:after="0" w:line="259" w:lineRule="auto"/>
              <w:ind w:left="85" w:right="0" w:firstLine="0"/>
            </w:pPr>
            <w:r>
              <w:rPr>
                <w:b/>
                <w:color w:val="FFFFFF"/>
              </w:rPr>
              <w:t>Příčina nepojízdnosti</w:t>
            </w:r>
          </w:p>
        </w:tc>
        <w:tc>
          <w:tcPr>
            <w:tcW w:w="3345" w:type="dxa"/>
            <w:tcBorders>
              <w:top w:val="nil"/>
              <w:left w:val="nil"/>
              <w:bottom w:val="nil"/>
              <w:right w:val="nil"/>
            </w:tcBorders>
            <w:shd w:val="clear" w:color="auto" w:fill="0081C6"/>
          </w:tcPr>
          <w:p w14:paraId="609AEA4B" w14:textId="77777777" w:rsidR="00DA61B0" w:rsidRDefault="001D14DA">
            <w:pPr>
              <w:spacing w:after="0" w:line="259" w:lineRule="auto"/>
              <w:ind w:left="0" w:right="0" w:firstLine="0"/>
            </w:pPr>
            <w:r>
              <w:rPr>
                <w:b/>
                <w:color w:val="FFFFFF"/>
              </w:rPr>
              <w:t>Způsob pomoci</w:t>
            </w:r>
          </w:p>
        </w:tc>
        <w:tc>
          <w:tcPr>
            <w:tcW w:w="3260" w:type="dxa"/>
            <w:tcBorders>
              <w:top w:val="nil"/>
              <w:left w:val="nil"/>
              <w:bottom w:val="nil"/>
              <w:right w:val="nil"/>
            </w:tcBorders>
            <w:shd w:val="clear" w:color="auto" w:fill="0081C6"/>
          </w:tcPr>
          <w:p w14:paraId="321B25AD" w14:textId="77777777" w:rsidR="00DA61B0" w:rsidRDefault="001D14DA">
            <w:pPr>
              <w:spacing w:after="0" w:line="259" w:lineRule="auto"/>
              <w:ind w:left="0" w:right="0" w:firstLine="0"/>
            </w:pPr>
            <w:r>
              <w:rPr>
                <w:b/>
                <w:color w:val="FFFFFF"/>
              </w:rPr>
              <w:t>CZ / ZAHRANIČÍ</w:t>
            </w:r>
          </w:p>
        </w:tc>
      </w:tr>
      <w:tr w:rsidR="00DA61B0" w14:paraId="4CEE3EA7" w14:textId="77777777">
        <w:trPr>
          <w:trHeight w:val="316"/>
        </w:trPr>
        <w:tc>
          <w:tcPr>
            <w:tcW w:w="3430" w:type="dxa"/>
            <w:tcBorders>
              <w:top w:val="nil"/>
              <w:left w:val="nil"/>
              <w:bottom w:val="single" w:sz="2" w:space="0" w:color="005CA9"/>
              <w:right w:val="nil"/>
            </w:tcBorders>
          </w:tcPr>
          <w:p w14:paraId="323FFAC8" w14:textId="77777777" w:rsidR="00DA61B0" w:rsidRDefault="001D14DA">
            <w:pPr>
              <w:spacing w:after="0" w:line="259" w:lineRule="auto"/>
              <w:ind w:left="85" w:right="0" w:firstLine="0"/>
            </w:pPr>
            <w:r>
              <w:t>Pojistná událost</w:t>
            </w:r>
          </w:p>
        </w:tc>
        <w:tc>
          <w:tcPr>
            <w:tcW w:w="3345" w:type="dxa"/>
            <w:tcBorders>
              <w:top w:val="nil"/>
              <w:left w:val="nil"/>
              <w:bottom w:val="single" w:sz="2" w:space="0" w:color="005CA9"/>
              <w:right w:val="nil"/>
            </w:tcBorders>
          </w:tcPr>
          <w:p w14:paraId="5B848B18" w14:textId="77777777" w:rsidR="00DA61B0" w:rsidRDefault="001D14DA">
            <w:pPr>
              <w:spacing w:after="0" w:line="259" w:lineRule="auto"/>
              <w:ind w:left="0" w:right="0" w:firstLine="0"/>
            </w:pPr>
            <w:r>
              <w:t>Oprava na místě nebo odtah</w:t>
            </w:r>
          </w:p>
        </w:tc>
        <w:tc>
          <w:tcPr>
            <w:tcW w:w="3260" w:type="dxa"/>
            <w:tcBorders>
              <w:top w:val="nil"/>
              <w:left w:val="nil"/>
              <w:bottom w:val="single" w:sz="2" w:space="0" w:color="005CA9"/>
              <w:right w:val="nil"/>
            </w:tcBorders>
          </w:tcPr>
          <w:p w14:paraId="06D8F9A7" w14:textId="77777777" w:rsidR="00DA61B0" w:rsidRDefault="001D14DA">
            <w:pPr>
              <w:spacing w:after="0" w:line="259" w:lineRule="auto"/>
              <w:ind w:left="0" w:right="0" w:firstLine="0"/>
            </w:pPr>
            <w:r>
              <w:t>3 000 Kč / 150 €</w:t>
            </w:r>
          </w:p>
        </w:tc>
      </w:tr>
      <w:tr w:rsidR="00DA61B0" w14:paraId="0EEED44A" w14:textId="77777777">
        <w:trPr>
          <w:trHeight w:val="316"/>
        </w:trPr>
        <w:tc>
          <w:tcPr>
            <w:tcW w:w="3430" w:type="dxa"/>
            <w:vMerge w:val="restart"/>
            <w:tcBorders>
              <w:top w:val="single" w:sz="2" w:space="0" w:color="005CA9"/>
              <w:left w:val="nil"/>
              <w:bottom w:val="single" w:sz="2" w:space="0" w:color="005CA9"/>
              <w:right w:val="nil"/>
            </w:tcBorders>
          </w:tcPr>
          <w:p w14:paraId="6AE67557" w14:textId="77777777" w:rsidR="00DA61B0" w:rsidRDefault="001D14DA">
            <w:pPr>
              <w:spacing w:after="0" w:line="259" w:lineRule="auto"/>
              <w:ind w:left="85" w:right="50" w:firstLine="0"/>
            </w:pPr>
            <w:r>
              <w:t xml:space="preserve">Pojistná událost s </w:t>
            </w:r>
            <w:proofErr w:type="gramStart"/>
            <w:r>
              <w:t>výjimkou  poruchy</w:t>
            </w:r>
            <w:proofErr w:type="gramEnd"/>
            <w:r>
              <w:t xml:space="preserve"> a chyby řidiče</w:t>
            </w:r>
          </w:p>
        </w:tc>
        <w:tc>
          <w:tcPr>
            <w:tcW w:w="3345" w:type="dxa"/>
            <w:tcBorders>
              <w:top w:val="single" w:sz="2" w:space="0" w:color="005CA9"/>
              <w:left w:val="nil"/>
              <w:bottom w:val="single" w:sz="2" w:space="0" w:color="005CA9"/>
              <w:right w:val="nil"/>
            </w:tcBorders>
          </w:tcPr>
          <w:p w14:paraId="2630814B" w14:textId="77777777" w:rsidR="00DA61B0" w:rsidRDefault="001D14DA">
            <w:pPr>
              <w:spacing w:after="0" w:line="259" w:lineRule="auto"/>
              <w:ind w:left="0" w:right="0" w:firstLine="0"/>
            </w:pPr>
            <w:r>
              <w:t>Náhradní vozidlo</w:t>
            </w:r>
          </w:p>
        </w:tc>
        <w:tc>
          <w:tcPr>
            <w:tcW w:w="3260" w:type="dxa"/>
            <w:tcBorders>
              <w:top w:val="single" w:sz="2" w:space="0" w:color="005CA9"/>
              <w:left w:val="nil"/>
              <w:bottom w:val="single" w:sz="2" w:space="0" w:color="005CA9"/>
              <w:right w:val="nil"/>
            </w:tcBorders>
          </w:tcPr>
          <w:p w14:paraId="2DDCE94C" w14:textId="77777777" w:rsidR="00DA61B0" w:rsidRDefault="001D14DA">
            <w:pPr>
              <w:spacing w:after="0" w:line="259" w:lineRule="auto"/>
              <w:ind w:left="0" w:right="0" w:firstLine="0"/>
            </w:pPr>
            <w:r>
              <w:t>24 hodin</w:t>
            </w:r>
          </w:p>
        </w:tc>
      </w:tr>
      <w:tr w:rsidR="00DA61B0" w14:paraId="599872D8" w14:textId="77777777">
        <w:trPr>
          <w:trHeight w:val="316"/>
        </w:trPr>
        <w:tc>
          <w:tcPr>
            <w:tcW w:w="0" w:type="auto"/>
            <w:vMerge/>
            <w:tcBorders>
              <w:top w:val="nil"/>
              <w:left w:val="nil"/>
              <w:bottom w:val="single" w:sz="2" w:space="0" w:color="005CA9"/>
              <w:right w:val="nil"/>
            </w:tcBorders>
          </w:tcPr>
          <w:p w14:paraId="7B52DFE3" w14:textId="77777777" w:rsidR="00DA61B0" w:rsidRDefault="00DA61B0">
            <w:pPr>
              <w:spacing w:after="160" w:line="259" w:lineRule="auto"/>
              <w:ind w:left="0" w:right="0" w:firstLine="0"/>
            </w:pPr>
          </w:p>
        </w:tc>
        <w:tc>
          <w:tcPr>
            <w:tcW w:w="3345" w:type="dxa"/>
            <w:tcBorders>
              <w:top w:val="single" w:sz="2" w:space="0" w:color="005CA9"/>
              <w:left w:val="nil"/>
              <w:bottom w:val="single" w:sz="2" w:space="0" w:color="005CA9"/>
              <w:right w:val="nil"/>
            </w:tcBorders>
          </w:tcPr>
          <w:p w14:paraId="356412D5" w14:textId="77777777" w:rsidR="00DA61B0" w:rsidRDefault="001D14DA">
            <w:pPr>
              <w:spacing w:after="0" w:line="259" w:lineRule="auto"/>
              <w:ind w:left="0" w:right="0" w:firstLine="0"/>
            </w:pPr>
            <w:r>
              <w:t>Ubytování v hotelu</w:t>
            </w:r>
          </w:p>
        </w:tc>
        <w:tc>
          <w:tcPr>
            <w:tcW w:w="3260" w:type="dxa"/>
            <w:tcBorders>
              <w:top w:val="single" w:sz="2" w:space="0" w:color="005CA9"/>
              <w:left w:val="nil"/>
              <w:bottom w:val="single" w:sz="2" w:space="0" w:color="005CA9"/>
              <w:right w:val="nil"/>
            </w:tcBorders>
          </w:tcPr>
          <w:p w14:paraId="5B334986" w14:textId="77777777" w:rsidR="00DA61B0" w:rsidRDefault="001D14DA">
            <w:pPr>
              <w:spacing w:after="0" w:line="259" w:lineRule="auto"/>
              <w:ind w:left="0" w:right="0" w:firstLine="0"/>
            </w:pPr>
            <w:r>
              <w:t>1 noc – 1 500 Kč/100 € os/ noc</w:t>
            </w:r>
          </w:p>
        </w:tc>
      </w:tr>
      <w:tr w:rsidR="00DA61B0" w14:paraId="022238FB" w14:textId="77777777">
        <w:trPr>
          <w:trHeight w:val="556"/>
        </w:trPr>
        <w:tc>
          <w:tcPr>
            <w:tcW w:w="3430" w:type="dxa"/>
            <w:tcBorders>
              <w:top w:val="single" w:sz="2" w:space="0" w:color="005CA9"/>
              <w:left w:val="nil"/>
              <w:bottom w:val="single" w:sz="2" w:space="0" w:color="005CA9"/>
              <w:right w:val="nil"/>
            </w:tcBorders>
            <w:vAlign w:val="center"/>
          </w:tcPr>
          <w:p w14:paraId="487AA827" w14:textId="77777777" w:rsidR="00DA61B0" w:rsidRDefault="001D14DA">
            <w:pPr>
              <w:spacing w:after="0" w:line="259" w:lineRule="auto"/>
              <w:ind w:left="85" w:right="0" w:firstLine="0"/>
            </w:pPr>
            <w:r>
              <w:t>Pojistná událost</w:t>
            </w:r>
          </w:p>
        </w:tc>
        <w:tc>
          <w:tcPr>
            <w:tcW w:w="3345" w:type="dxa"/>
            <w:tcBorders>
              <w:top w:val="single" w:sz="2" w:space="0" w:color="005CA9"/>
              <w:left w:val="nil"/>
              <w:bottom w:val="single" w:sz="2" w:space="0" w:color="005CA9"/>
              <w:right w:val="nil"/>
            </w:tcBorders>
          </w:tcPr>
          <w:p w14:paraId="2491B849" w14:textId="77777777" w:rsidR="00DA61B0" w:rsidRDefault="001D14DA">
            <w:pPr>
              <w:spacing w:after="0" w:line="259" w:lineRule="auto"/>
              <w:ind w:left="0" w:right="0" w:firstLine="0"/>
            </w:pPr>
            <w:r>
              <w:t xml:space="preserve">Repatriace vozidla do ČR  </w:t>
            </w:r>
          </w:p>
          <w:p w14:paraId="05579360" w14:textId="77777777" w:rsidR="00DA61B0" w:rsidRDefault="001D14DA">
            <w:pPr>
              <w:spacing w:after="0" w:line="259" w:lineRule="auto"/>
              <w:ind w:left="0" w:right="0" w:firstLine="0"/>
            </w:pPr>
            <w:r>
              <w:t>(oprava delší než 7 dnů)</w:t>
            </w:r>
          </w:p>
        </w:tc>
        <w:tc>
          <w:tcPr>
            <w:tcW w:w="3260" w:type="dxa"/>
            <w:tcBorders>
              <w:top w:val="single" w:sz="2" w:space="0" w:color="005CA9"/>
              <w:left w:val="nil"/>
              <w:bottom w:val="single" w:sz="2" w:space="0" w:color="005CA9"/>
              <w:right w:val="nil"/>
            </w:tcBorders>
            <w:vAlign w:val="center"/>
          </w:tcPr>
          <w:p w14:paraId="0BBD8EF6" w14:textId="77777777" w:rsidR="00DA61B0" w:rsidRDefault="001D14DA">
            <w:pPr>
              <w:spacing w:after="0" w:line="259" w:lineRule="auto"/>
              <w:ind w:left="0" w:right="0" w:firstLine="0"/>
            </w:pPr>
            <w:r>
              <w:t>NE/ ORG</w:t>
            </w:r>
          </w:p>
        </w:tc>
      </w:tr>
      <w:tr w:rsidR="00DA61B0" w14:paraId="6A54FCA2" w14:textId="77777777">
        <w:trPr>
          <w:trHeight w:val="316"/>
        </w:trPr>
        <w:tc>
          <w:tcPr>
            <w:tcW w:w="3430" w:type="dxa"/>
            <w:tcBorders>
              <w:top w:val="single" w:sz="2" w:space="0" w:color="005CA9"/>
              <w:left w:val="nil"/>
              <w:bottom w:val="single" w:sz="2" w:space="0" w:color="005CA9"/>
              <w:right w:val="nil"/>
            </w:tcBorders>
          </w:tcPr>
          <w:p w14:paraId="75F09ED7" w14:textId="77777777" w:rsidR="00DA61B0" w:rsidRDefault="001D14DA">
            <w:pPr>
              <w:spacing w:after="0" w:line="259" w:lineRule="auto"/>
              <w:ind w:left="85" w:right="0" w:firstLine="0"/>
            </w:pPr>
            <w:r>
              <w:t>Pojistná událost</w:t>
            </w:r>
          </w:p>
        </w:tc>
        <w:tc>
          <w:tcPr>
            <w:tcW w:w="3345" w:type="dxa"/>
            <w:tcBorders>
              <w:top w:val="single" w:sz="2" w:space="0" w:color="005CA9"/>
              <w:left w:val="nil"/>
              <w:bottom w:val="single" w:sz="2" w:space="0" w:color="005CA9"/>
              <w:right w:val="nil"/>
            </w:tcBorders>
          </w:tcPr>
          <w:p w14:paraId="2B0A9E03" w14:textId="77777777" w:rsidR="00DA61B0" w:rsidRDefault="001D14DA">
            <w:pPr>
              <w:spacing w:after="0" w:line="259" w:lineRule="auto"/>
              <w:ind w:left="0" w:right="0" w:firstLine="0"/>
            </w:pPr>
            <w:r>
              <w:t>Úhrada sešrotování</w:t>
            </w:r>
          </w:p>
        </w:tc>
        <w:tc>
          <w:tcPr>
            <w:tcW w:w="3260" w:type="dxa"/>
            <w:tcBorders>
              <w:top w:val="single" w:sz="2" w:space="0" w:color="005CA9"/>
              <w:left w:val="nil"/>
              <w:bottom w:val="single" w:sz="2" w:space="0" w:color="005CA9"/>
              <w:right w:val="nil"/>
            </w:tcBorders>
          </w:tcPr>
          <w:p w14:paraId="515CA5E4" w14:textId="77777777" w:rsidR="00DA61B0" w:rsidRDefault="001D14DA">
            <w:pPr>
              <w:spacing w:after="0" w:line="259" w:lineRule="auto"/>
              <w:ind w:left="0" w:right="0" w:firstLine="0"/>
            </w:pPr>
            <w:r>
              <w:t>NE / ORG</w:t>
            </w:r>
          </w:p>
        </w:tc>
      </w:tr>
      <w:tr w:rsidR="00DA61B0" w14:paraId="19D6E99F" w14:textId="77777777">
        <w:trPr>
          <w:trHeight w:val="556"/>
        </w:trPr>
        <w:tc>
          <w:tcPr>
            <w:tcW w:w="3430" w:type="dxa"/>
            <w:tcBorders>
              <w:top w:val="single" w:sz="2" w:space="0" w:color="005CA9"/>
              <w:left w:val="nil"/>
              <w:bottom w:val="single" w:sz="5" w:space="0" w:color="005CA9"/>
              <w:right w:val="nil"/>
            </w:tcBorders>
            <w:vAlign w:val="center"/>
          </w:tcPr>
          <w:p w14:paraId="596CC6C4" w14:textId="77777777" w:rsidR="00DA61B0" w:rsidRDefault="001D14DA">
            <w:pPr>
              <w:spacing w:after="0" w:line="259" w:lineRule="auto"/>
              <w:ind w:left="85" w:right="0" w:firstLine="0"/>
            </w:pPr>
            <w:r>
              <w:t>Pojistná událost</w:t>
            </w:r>
          </w:p>
        </w:tc>
        <w:tc>
          <w:tcPr>
            <w:tcW w:w="3345" w:type="dxa"/>
            <w:tcBorders>
              <w:top w:val="single" w:sz="2" w:space="0" w:color="005CA9"/>
              <w:left w:val="nil"/>
              <w:bottom w:val="single" w:sz="5" w:space="0" w:color="005CA9"/>
              <w:right w:val="nil"/>
            </w:tcBorders>
          </w:tcPr>
          <w:p w14:paraId="3D1226F8" w14:textId="77777777" w:rsidR="00DA61B0" w:rsidRDefault="001D14DA">
            <w:pPr>
              <w:spacing w:after="0" w:line="259" w:lineRule="auto"/>
              <w:ind w:left="0" w:right="0" w:firstLine="0"/>
            </w:pPr>
            <w:r>
              <w:t>Půjčka při zadržení, vazbě, uvěznění v zahraničí</w:t>
            </w:r>
          </w:p>
        </w:tc>
        <w:tc>
          <w:tcPr>
            <w:tcW w:w="3260" w:type="dxa"/>
            <w:tcBorders>
              <w:top w:val="single" w:sz="2" w:space="0" w:color="005CA9"/>
              <w:left w:val="nil"/>
              <w:bottom w:val="single" w:sz="5" w:space="0" w:color="005CA9"/>
              <w:right w:val="nil"/>
            </w:tcBorders>
            <w:vAlign w:val="center"/>
          </w:tcPr>
          <w:p w14:paraId="7C6DC2CB" w14:textId="77777777" w:rsidR="00DA61B0" w:rsidRDefault="001D14DA">
            <w:pPr>
              <w:spacing w:after="0" w:line="259" w:lineRule="auto"/>
              <w:ind w:left="0" w:right="0" w:firstLine="0"/>
            </w:pPr>
            <w:r>
              <w:t>NE / ORG</w:t>
            </w:r>
          </w:p>
        </w:tc>
      </w:tr>
    </w:tbl>
    <w:p w14:paraId="64CD469C" w14:textId="77777777" w:rsidR="00DA61B0" w:rsidRDefault="001D14DA">
      <w:pPr>
        <w:pStyle w:val="Nadpis1"/>
        <w:ind w:left="-5"/>
      </w:pPr>
      <w:r>
        <w:t>Článek 6</w:t>
      </w:r>
    </w:p>
    <w:p w14:paraId="321AC44F" w14:textId="77777777" w:rsidR="00DA61B0" w:rsidRDefault="001D14DA">
      <w:pPr>
        <w:pStyle w:val="Nadpis2"/>
        <w:ind w:left="-5"/>
      </w:pPr>
      <w:r>
        <w:t>Rozsah Komfort asistence UNIQA</w:t>
      </w:r>
    </w:p>
    <w:p w14:paraId="47E9EB48" w14:textId="77777777" w:rsidR="00DA61B0" w:rsidRDefault="001D14DA">
      <w:pPr>
        <w:numPr>
          <w:ilvl w:val="0"/>
          <w:numId w:val="7"/>
        </w:numPr>
        <w:ind w:right="14" w:hanging="397"/>
      </w:pPr>
      <w:r>
        <w:t xml:space="preserve">V případě pojistné události pojistitel prostřednictvím asistenční služby zorganizuje a uhradí asistenční služby až do výše limitů pojistného plnění uvedených v bodu 3 tohoto článku: a) opravu nepojízdného vozidla na místě události, </w:t>
      </w:r>
      <w:r>
        <w:rPr>
          <w:b/>
        </w:rPr>
        <w:t>nebo</w:t>
      </w:r>
    </w:p>
    <w:p w14:paraId="73F4082A" w14:textId="77777777" w:rsidR="00DA61B0" w:rsidRDefault="001D14DA">
      <w:pPr>
        <w:numPr>
          <w:ilvl w:val="1"/>
          <w:numId w:val="7"/>
        </w:numPr>
        <w:ind w:right="176" w:hanging="283"/>
      </w:pPr>
      <w:r>
        <w:t xml:space="preserve">odtah do nejbližší smluvní opravny nebo jinam až do výše sjednaného limitu pojistného plnění uvedeného v bodu 3 tohoto článku v případě pojistné události v ČR nebo do nejbližší opravny, pokud k pojistné události došlo v zahraničí, </w:t>
      </w:r>
      <w:r>
        <w:rPr>
          <w:b/>
        </w:rPr>
        <w:t>nebo</w:t>
      </w:r>
    </w:p>
    <w:p w14:paraId="73EA1962" w14:textId="77777777" w:rsidR="00DA61B0" w:rsidRDefault="001D14DA">
      <w:pPr>
        <w:numPr>
          <w:ilvl w:val="1"/>
          <w:numId w:val="7"/>
        </w:numPr>
        <w:ind w:right="176" w:hanging="283"/>
      </w:pPr>
      <w:r>
        <w:t>uskladnění nepojízdného vozidla na bezpečném místě v případě, že odtah do opravny není z objektivních důvodů možný (např. večerní hodiny, svátek atp.).</w:t>
      </w:r>
    </w:p>
    <w:p w14:paraId="76DCB49E" w14:textId="77777777" w:rsidR="00DA61B0" w:rsidRDefault="001D14DA">
      <w:pPr>
        <w:numPr>
          <w:ilvl w:val="0"/>
          <w:numId w:val="7"/>
        </w:numPr>
        <w:ind w:right="14" w:hanging="397"/>
      </w:pPr>
      <w:r>
        <w:t>V případě, že vozidlo není opravitelné týž den, pojistitel prostřednictvím asistenční služby zorganizuje, případně zorganizuje a uhradí níže uvedené asistenční služby až do výše limitů pojistného plnění uvedených v bodu 3 těchto pojistných podmínek:</w:t>
      </w:r>
    </w:p>
    <w:p w14:paraId="0C0A0085" w14:textId="77777777" w:rsidR="00DA61B0" w:rsidRDefault="001D14DA">
      <w:pPr>
        <w:numPr>
          <w:ilvl w:val="1"/>
          <w:numId w:val="8"/>
        </w:numPr>
        <w:ind w:right="0" w:hanging="283"/>
      </w:pPr>
      <w:r>
        <w:t xml:space="preserve">náhradní ubytování v hotelu, </w:t>
      </w:r>
      <w:r>
        <w:rPr>
          <w:b/>
        </w:rPr>
        <w:t>nebo</w:t>
      </w:r>
    </w:p>
    <w:p w14:paraId="76C2B02D" w14:textId="77777777" w:rsidR="00DA61B0" w:rsidRDefault="001D14DA">
      <w:pPr>
        <w:numPr>
          <w:ilvl w:val="1"/>
          <w:numId w:val="8"/>
        </w:numPr>
        <w:ind w:right="0" w:hanging="283"/>
      </w:pPr>
      <w:r>
        <w:t>náhradní vozidlo kategorie dle výběru oprávněné osoby (časový limit uvedený v bodu 3 tohoto článku se vztahuje na vozidlo kategorie B, v případě, že oprávněná osoba požaduje vozidlo vyšší kategorie, bude uplatněn finanční limit, náklady nad tento limit nese oprávněná osoba ze svých vlastních prostředků). Součástí pojistného plnění není služba přistavení a odstavení náhradního vozidla.</w:t>
      </w:r>
    </w:p>
    <w:p w14:paraId="25EDA197" w14:textId="77777777" w:rsidR="00DA61B0" w:rsidRDefault="001D14DA">
      <w:pPr>
        <w:numPr>
          <w:ilvl w:val="1"/>
          <w:numId w:val="8"/>
        </w:numPr>
        <w:ind w:right="0" w:hanging="283"/>
      </w:pPr>
      <w:r>
        <w:t>repatriaci nepojízdného vozidla do ČR v případě, že by oprava nepojízdného vozidla v zahraničí trvala déle než 7 dní. Nárok na pojistné plnění vzniká oprávněné osobě jen tehdy, pokud zůstatková hodnota nepojízdného vozidla převyšuje náklady repatriace.</w:t>
      </w:r>
    </w:p>
    <w:p w14:paraId="285CDF6B" w14:textId="77777777" w:rsidR="00DA61B0" w:rsidRDefault="001D14DA">
      <w:pPr>
        <w:numPr>
          <w:ilvl w:val="1"/>
          <w:numId w:val="8"/>
        </w:numPr>
        <w:ind w:right="0" w:hanging="283"/>
      </w:pPr>
      <w:r>
        <w:t>sešrotování vraku pojištěného vozidla v případě, že jeho oprava v zahraničí není možná či vhodná, a to včetně pomoci s vyřízením zákonem požadované dokumentace</w:t>
      </w:r>
    </w:p>
    <w:p w14:paraId="0DF3E33E" w14:textId="77777777" w:rsidR="00DA61B0" w:rsidRDefault="001D14DA">
      <w:pPr>
        <w:numPr>
          <w:ilvl w:val="1"/>
          <w:numId w:val="8"/>
        </w:numPr>
        <w:ind w:right="0" w:hanging="283"/>
      </w:pPr>
      <w:r>
        <w:t>poskytnutí zajištěné půjčky na složení kauce v případě při zadržení, vzetí do vazby či uvěznění v zahraničí. Nárok na poskytnutí záruky nebo kauce se nevztahuje na soudní řízení z důvodu trestné činnosti, řízení pod vlivem alkoholu, použitím návykové látky nebo přípravku takovou látku obsahující, které ovlivňují závažným způsobem způsobilost pojištěného k řízení dopravního prostředku.</w:t>
      </w:r>
    </w:p>
    <w:p w14:paraId="60616D0E" w14:textId="77777777" w:rsidR="00DA61B0" w:rsidRDefault="001D14DA">
      <w:pPr>
        <w:numPr>
          <w:ilvl w:val="0"/>
          <w:numId w:val="7"/>
        </w:numPr>
        <w:spacing w:after="2"/>
        <w:ind w:right="14" w:hanging="397"/>
      </w:pPr>
      <w:r>
        <w:rPr>
          <w:b/>
        </w:rPr>
        <w:t>Limity pojistného plnění</w:t>
      </w:r>
    </w:p>
    <w:p w14:paraId="14A1A062" w14:textId="77777777" w:rsidR="00DA61B0" w:rsidRDefault="001D14DA">
      <w:pPr>
        <w:ind w:left="382" w:right="0" w:hanging="397"/>
      </w:pPr>
      <w:r>
        <w:lastRenderedPageBreak/>
        <w:t xml:space="preserve"> </w:t>
      </w:r>
      <w:r>
        <w:tab/>
      </w:r>
      <w:r>
        <w:t>Uvedený limit pro pojistné plnění při poruchách vozidla a chybách řidiče vztahuje na jeden asistenční zásah. Počet asistenčních zásahů v jednom pojistném roce není omezen.</w:t>
      </w:r>
    </w:p>
    <w:tbl>
      <w:tblPr>
        <w:tblStyle w:val="TableGrid"/>
        <w:tblW w:w="10035" w:type="dxa"/>
        <w:tblInd w:w="397" w:type="dxa"/>
        <w:tblCellMar>
          <w:top w:w="85" w:type="dxa"/>
          <w:left w:w="0" w:type="dxa"/>
          <w:bottom w:w="0" w:type="dxa"/>
          <w:right w:w="115" w:type="dxa"/>
        </w:tblCellMar>
        <w:tblLook w:val="04A0" w:firstRow="1" w:lastRow="0" w:firstColumn="1" w:lastColumn="0" w:noHBand="0" w:noVBand="1"/>
      </w:tblPr>
      <w:tblGrid>
        <w:gridCol w:w="6889"/>
        <w:gridCol w:w="3146"/>
      </w:tblGrid>
      <w:tr w:rsidR="00DA61B0" w14:paraId="675EA695" w14:textId="77777777">
        <w:trPr>
          <w:trHeight w:val="316"/>
        </w:trPr>
        <w:tc>
          <w:tcPr>
            <w:tcW w:w="6888" w:type="dxa"/>
            <w:tcBorders>
              <w:top w:val="nil"/>
              <w:left w:val="nil"/>
              <w:bottom w:val="nil"/>
              <w:right w:val="nil"/>
            </w:tcBorders>
            <w:shd w:val="clear" w:color="auto" w:fill="005CA9"/>
          </w:tcPr>
          <w:p w14:paraId="17929177" w14:textId="77777777" w:rsidR="00DA61B0" w:rsidRDefault="001D14DA">
            <w:pPr>
              <w:spacing w:after="0" w:line="259" w:lineRule="auto"/>
              <w:ind w:left="85" w:right="0" w:firstLine="0"/>
            </w:pPr>
            <w:r>
              <w:rPr>
                <w:b/>
                <w:color w:val="FFFFFF"/>
              </w:rPr>
              <w:t>Limity pojistného plnění</w:t>
            </w:r>
          </w:p>
        </w:tc>
        <w:tc>
          <w:tcPr>
            <w:tcW w:w="3146" w:type="dxa"/>
            <w:tcBorders>
              <w:top w:val="nil"/>
              <w:left w:val="nil"/>
              <w:bottom w:val="nil"/>
              <w:right w:val="nil"/>
            </w:tcBorders>
            <w:shd w:val="clear" w:color="auto" w:fill="005CA9"/>
          </w:tcPr>
          <w:p w14:paraId="6CE34F1B" w14:textId="77777777" w:rsidR="00DA61B0" w:rsidRDefault="00DA61B0">
            <w:pPr>
              <w:spacing w:after="160" w:line="259" w:lineRule="auto"/>
              <w:ind w:left="0" w:right="0" w:firstLine="0"/>
            </w:pPr>
          </w:p>
        </w:tc>
      </w:tr>
      <w:tr w:rsidR="00DA61B0" w14:paraId="2ED29673" w14:textId="77777777">
        <w:trPr>
          <w:trHeight w:val="316"/>
        </w:trPr>
        <w:tc>
          <w:tcPr>
            <w:tcW w:w="6888" w:type="dxa"/>
            <w:tcBorders>
              <w:top w:val="nil"/>
              <w:left w:val="nil"/>
              <w:bottom w:val="nil"/>
              <w:right w:val="nil"/>
            </w:tcBorders>
            <w:shd w:val="clear" w:color="auto" w:fill="0081C6"/>
          </w:tcPr>
          <w:p w14:paraId="352991FF" w14:textId="77777777" w:rsidR="00DA61B0" w:rsidRDefault="001D14DA">
            <w:pPr>
              <w:tabs>
                <w:tab w:val="center" w:pos="3038"/>
              </w:tabs>
              <w:spacing w:after="0" w:line="259" w:lineRule="auto"/>
              <w:ind w:left="0" w:right="0" w:firstLine="0"/>
            </w:pPr>
            <w:r>
              <w:rPr>
                <w:b/>
                <w:color w:val="FFFFFF"/>
              </w:rPr>
              <w:t>Příčina nepojízdnosti</w:t>
            </w:r>
            <w:r>
              <w:rPr>
                <w:b/>
                <w:color w:val="FFFFFF"/>
              </w:rPr>
              <w:tab/>
              <w:t>Způsob pomoci</w:t>
            </w:r>
          </w:p>
        </w:tc>
        <w:tc>
          <w:tcPr>
            <w:tcW w:w="3146" w:type="dxa"/>
            <w:tcBorders>
              <w:top w:val="nil"/>
              <w:left w:val="nil"/>
              <w:bottom w:val="nil"/>
              <w:right w:val="nil"/>
            </w:tcBorders>
            <w:shd w:val="clear" w:color="auto" w:fill="0081C6"/>
          </w:tcPr>
          <w:p w14:paraId="16D2C4BF" w14:textId="77777777" w:rsidR="00DA61B0" w:rsidRDefault="001D14DA">
            <w:pPr>
              <w:spacing w:after="0" w:line="259" w:lineRule="auto"/>
              <w:ind w:left="0" w:right="0" w:firstLine="0"/>
            </w:pPr>
            <w:r>
              <w:rPr>
                <w:b/>
                <w:color w:val="FFFFFF"/>
              </w:rPr>
              <w:t>CZ / ZAHRANIČÍ</w:t>
            </w:r>
          </w:p>
        </w:tc>
      </w:tr>
    </w:tbl>
    <w:p w14:paraId="5FE2830E" w14:textId="77777777" w:rsidR="00DA61B0" w:rsidRDefault="001D14DA">
      <w:pPr>
        <w:ind w:left="492" w:right="0"/>
      </w:pPr>
      <w:r>
        <w:t xml:space="preserve">Pojistná událost  </w:t>
      </w:r>
    </w:p>
    <w:p w14:paraId="0FCAA2A8" w14:textId="77777777" w:rsidR="00DA61B0" w:rsidRDefault="001D14DA">
      <w:pPr>
        <w:ind w:left="482" w:right="1603" w:firstLine="6803"/>
      </w:pPr>
      <w:r>
        <w:t>5 000 Kč / 300 € s výjimkou chyby řidiče Oprava na místě nebo odtah</w:t>
      </w:r>
    </w:p>
    <w:tbl>
      <w:tblPr>
        <w:tblStyle w:val="TableGrid"/>
        <w:tblW w:w="10035" w:type="dxa"/>
        <w:tblInd w:w="397" w:type="dxa"/>
        <w:tblCellMar>
          <w:top w:w="85" w:type="dxa"/>
          <w:left w:w="0" w:type="dxa"/>
          <w:bottom w:w="0" w:type="dxa"/>
          <w:right w:w="115" w:type="dxa"/>
        </w:tblCellMar>
        <w:tblLook w:val="04A0" w:firstRow="1" w:lastRow="0" w:firstColumn="1" w:lastColumn="0" w:noHBand="0" w:noVBand="1"/>
      </w:tblPr>
      <w:tblGrid>
        <w:gridCol w:w="2297"/>
        <w:gridCol w:w="4592"/>
        <w:gridCol w:w="3146"/>
      </w:tblGrid>
      <w:tr w:rsidR="00DA61B0" w14:paraId="79A5C3E6" w14:textId="77777777">
        <w:trPr>
          <w:trHeight w:val="316"/>
        </w:trPr>
        <w:tc>
          <w:tcPr>
            <w:tcW w:w="2296" w:type="dxa"/>
            <w:tcBorders>
              <w:top w:val="single" w:sz="2" w:space="0" w:color="005CA9"/>
              <w:left w:val="nil"/>
              <w:bottom w:val="single" w:sz="2" w:space="0" w:color="005CA9"/>
              <w:right w:val="nil"/>
            </w:tcBorders>
          </w:tcPr>
          <w:p w14:paraId="6BCEB017" w14:textId="77777777" w:rsidR="00DA61B0" w:rsidRDefault="001D14DA">
            <w:pPr>
              <w:spacing w:after="0" w:line="259" w:lineRule="auto"/>
              <w:ind w:left="85" w:right="0" w:firstLine="0"/>
            </w:pPr>
            <w:r>
              <w:t>Chyba řidiče</w:t>
            </w:r>
          </w:p>
        </w:tc>
        <w:tc>
          <w:tcPr>
            <w:tcW w:w="4592" w:type="dxa"/>
            <w:tcBorders>
              <w:top w:val="nil"/>
              <w:left w:val="nil"/>
              <w:bottom w:val="single" w:sz="2" w:space="0" w:color="005CA9"/>
              <w:right w:val="nil"/>
            </w:tcBorders>
          </w:tcPr>
          <w:p w14:paraId="734650DF" w14:textId="77777777" w:rsidR="00DA61B0" w:rsidRDefault="00DA61B0">
            <w:pPr>
              <w:spacing w:after="160" w:line="259" w:lineRule="auto"/>
              <w:ind w:left="0" w:right="0" w:firstLine="0"/>
            </w:pPr>
          </w:p>
        </w:tc>
        <w:tc>
          <w:tcPr>
            <w:tcW w:w="3146" w:type="dxa"/>
            <w:tcBorders>
              <w:top w:val="single" w:sz="2" w:space="0" w:color="005CA9"/>
              <w:left w:val="nil"/>
              <w:bottom w:val="single" w:sz="2" w:space="0" w:color="005CA9"/>
              <w:right w:val="nil"/>
            </w:tcBorders>
          </w:tcPr>
          <w:p w14:paraId="6B997837" w14:textId="77777777" w:rsidR="00DA61B0" w:rsidRDefault="001D14DA">
            <w:pPr>
              <w:spacing w:after="0" w:line="259" w:lineRule="auto"/>
              <w:ind w:left="0" w:right="0" w:firstLine="0"/>
            </w:pPr>
            <w:r>
              <w:t>3 000 Kč / 175 €</w:t>
            </w:r>
          </w:p>
        </w:tc>
      </w:tr>
      <w:tr w:rsidR="00DA61B0" w14:paraId="0F8A8821" w14:textId="77777777">
        <w:trPr>
          <w:trHeight w:val="316"/>
        </w:trPr>
        <w:tc>
          <w:tcPr>
            <w:tcW w:w="2296" w:type="dxa"/>
            <w:vMerge w:val="restart"/>
            <w:tcBorders>
              <w:top w:val="single" w:sz="2" w:space="0" w:color="005CA9"/>
              <w:left w:val="nil"/>
              <w:bottom w:val="single" w:sz="2" w:space="0" w:color="005CA9"/>
              <w:right w:val="nil"/>
            </w:tcBorders>
            <w:vAlign w:val="center"/>
          </w:tcPr>
          <w:p w14:paraId="67593A60" w14:textId="77777777" w:rsidR="00DA61B0" w:rsidRDefault="001D14DA">
            <w:pPr>
              <w:spacing w:after="0" w:line="259" w:lineRule="auto"/>
              <w:ind w:left="85" w:right="74" w:firstLine="0"/>
            </w:pPr>
            <w:r>
              <w:t xml:space="preserve">Pojistná </w:t>
            </w:r>
            <w:proofErr w:type="gramStart"/>
            <w:r>
              <w:t>událost  s</w:t>
            </w:r>
            <w:proofErr w:type="gramEnd"/>
            <w:r>
              <w:t xml:space="preserve"> výjimkou chyby řidiče</w:t>
            </w:r>
          </w:p>
        </w:tc>
        <w:tc>
          <w:tcPr>
            <w:tcW w:w="4592" w:type="dxa"/>
            <w:tcBorders>
              <w:top w:val="single" w:sz="2" w:space="0" w:color="005CA9"/>
              <w:left w:val="nil"/>
              <w:bottom w:val="single" w:sz="2" w:space="0" w:color="005CA9"/>
              <w:right w:val="nil"/>
            </w:tcBorders>
          </w:tcPr>
          <w:p w14:paraId="65215D66" w14:textId="77777777" w:rsidR="00DA61B0" w:rsidRDefault="001D14DA">
            <w:pPr>
              <w:spacing w:after="0" w:line="259" w:lineRule="auto"/>
              <w:ind w:left="0" w:right="0" w:firstLine="0"/>
            </w:pPr>
            <w:r>
              <w:t>Náhradní vozidlo, nebo</w:t>
            </w:r>
          </w:p>
        </w:tc>
        <w:tc>
          <w:tcPr>
            <w:tcW w:w="3146" w:type="dxa"/>
            <w:tcBorders>
              <w:top w:val="single" w:sz="2" w:space="0" w:color="005CA9"/>
              <w:left w:val="nil"/>
              <w:bottom w:val="single" w:sz="2" w:space="0" w:color="005CA9"/>
              <w:right w:val="nil"/>
            </w:tcBorders>
          </w:tcPr>
          <w:p w14:paraId="4C08FACE" w14:textId="77777777" w:rsidR="00DA61B0" w:rsidRDefault="001D14DA">
            <w:pPr>
              <w:spacing w:after="0" w:line="259" w:lineRule="auto"/>
              <w:ind w:left="0" w:right="0" w:firstLine="0"/>
            </w:pPr>
            <w:r>
              <w:t>5 dnů nebo 5 000 Kč / 200 €</w:t>
            </w:r>
          </w:p>
        </w:tc>
      </w:tr>
      <w:tr w:rsidR="00DA61B0" w14:paraId="10FE8665" w14:textId="77777777">
        <w:trPr>
          <w:trHeight w:val="316"/>
        </w:trPr>
        <w:tc>
          <w:tcPr>
            <w:tcW w:w="0" w:type="auto"/>
            <w:vMerge/>
            <w:tcBorders>
              <w:top w:val="nil"/>
              <w:left w:val="nil"/>
              <w:bottom w:val="nil"/>
              <w:right w:val="nil"/>
            </w:tcBorders>
          </w:tcPr>
          <w:p w14:paraId="509524EA" w14:textId="77777777" w:rsidR="00DA61B0" w:rsidRDefault="00DA61B0">
            <w:pPr>
              <w:spacing w:after="160" w:line="259" w:lineRule="auto"/>
              <w:ind w:left="0" w:right="0" w:firstLine="0"/>
            </w:pPr>
          </w:p>
        </w:tc>
        <w:tc>
          <w:tcPr>
            <w:tcW w:w="4592" w:type="dxa"/>
            <w:tcBorders>
              <w:top w:val="single" w:sz="2" w:space="0" w:color="005CA9"/>
              <w:left w:val="nil"/>
              <w:bottom w:val="single" w:sz="2" w:space="0" w:color="005CA9"/>
              <w:right w:val="nil"/>
            </w:tcBorders>
          </w:tcPr>
          <w:p w14:paraId="04B6176D" w14:textId="77777777" w:rsidR="00DA61B0" w:rsidRDefault="001D14DA">
            <w:pPr>
              <w:spacing w:after="0" w:line="259" w:lineRule="auto"/>
              <w:ind w:left="0" w:right="0" w:firstLine="0"/>
            </w:pPr>
            <w:r>
              <w:t>Ubytování v hotelu</w:t>
            </w:r>
          </w:p>
        </w:tc>
        <w:tc>
          <w:tcPr>
            <w:tcW w:w="3146" w:type="dxa"/>
            <w:tcBorders>
              <w:top w:val="single" w:sz="2" w:space="0" w:color="005CA9"/>
              <w:left w:val="nil"/>
              <w:bottom w:val="single" w:sz="2" w:space="0" w:color="005CA9"/>
              <w:right w:val="nil"/>
            </w:tcBorders>
          </w:tcPr>
          <w:p w14:paraId="58AD7215" w14:textId="77777777" w:rsidR="00DA61B0" w:rsidRDefault="001D14DA">
            <w:pPr>
              <w:spacing w:after="0" w:line="259" w:lineRule="auto"/>
              <w:ind w:left="0" w:right="0" w:firstLine="0"/>
            </w:pPr>
            <w:r>
              <w:t>2 noci – 2 500 Kč / 200 €/os/noc</w:t>
            </w:r>
          </w:p>
        </w:tc>
      </w:tr>
      <w:tr w:rsidR="00DA61B0" w14:paraId="05FC6E1A" w14:textId="77777777">
        <w:trPr>
          <w:trHeight w:val="316"/>
        </w:trPr>
        <w:tc>
          <w:tcPr>
            <w:tcW w:w="0" w:type="auto"/>
            <w:vMerge/>
            <w:tcBorders>
              <w:top w:val="nil"/>
              <w:left w:val="nil"/>
              <w:bottom w:val="nil"/>
              <w:right w:val="nil"/>
            </w:tcBorders>
          </w:tcPr>
          <w:p w14:paraId="0F768059" w14:textId="77777777" w:rsidR="00DA61B0" w:rsidRDefault="00DA61B0">
            <w:pPr>
              <w:spacing w:after="160" w:line="259" w:lineRule="auto"/>
              <w:ind w:left="0" w:right="0" w:firstLine="0"/>
            </w:pPr>
          </w:p>
        </w:tc>
        <w:tc>
          <w:tcPr>
            <w:tcW w:w="4592" w:type="dxa"/>
            <w:tcBorders>
              <w:top w:val="single" w:sz="2" w:space="0" w:color="005CA9"/>
              <w:left w:val="nil"/>
              <w:bottom w:val="single" w:sz="2" w:space="0" w:color="005CA9"/>
              <w:right w:val="nil"/>
            </w:tcBorders>
          </w:tcPr>
          <w:p w14:paraId="50269DE3" w14:textId="77777777" w:rsidR="00DA61B0" w:rsidRDefault="001D14DA">
            <w:pPr>
              <w:spacing w:after="0" w:line="259" w:lineRule="auto"/>
              <w:ind w:left="0" w:right="0" w:firstLine="0"/>
            </w:pPr>
            <w:r>
              <w:t>Repatriace do ČR (oprava delší než 7 dnů)</w:t>
            </w:r>
          </w:p>
        </w:tc>
        <w:tc>
          <w:tcPr>
            <w:tcW w:w="3146" w:type="dxa"/>
            <w:tcBorders>
              <w:top w:val="single" w:sz="2" w:space="0" w:color="005CA9"/>
              <w:left w:val="nil"/>
              <w:bottom w:val="single" w:sz="2" w:space="0" w:color="005CA9"/>
              <w:right w:val="nil"/>
            </w:tcBorders>
          </w:tcPr>
          <w:p w14:paraId="7483F935" w14:textId="77777777" w:rsidR="00DA61B0" w:rsidRDefault="001D14DA">
            <w:pPr>
              <w:spacing w:after="0" w:line="259" w:lineRule="auto"/>
              <w:ind w:left="0" w:right="0" w:firstLine="0"/>
            </w:pPr>
            <w:r>
              <w:t>NE / 1 700 €</w:t>
            </w:r>
          </w:p>
        </w:tc>
      </w:tr>
      <w:tr w:rsidR="00DA61B0" w14:paraId="391F270F" w14:textId="77777777">
        <w:trPr>
          <w:trHeight w:val="316"/>
        </w:trPr>
        <w:tc>
          <w:tcPr>
            <w:tcW w:w="0" w:type="auto"/>
            <w:vMerge/>
            <w:tcBorders>
              <w:top w:val="nil"/>
              <w:left w:val="nil"/>
              <w:bottom w:val="single" w:sz="2" w:space="0" w:color="005CA9"/>
              <w:right w:val="nil"/>
            </w:tcBorders>
          </w:tcPr>
          <w:p w14:paraId="40189B0F" w14:textId="77777777" w:rsidR="00DA61B0" w:rsidRDefault="00DA61B0">
            <w:pPr>
              <w:spacing w:after="160" w:line="259" w:lineRule="auto"/>
              <w:ind w:left="0" w:right="0" w:firstLine="0"/>
            </w:pPr>
          </w:p>
        </w:tc>
        <w:tc>
          <w:tcPr>
            <w:tcW w:w="4592" w:type="dxa"/>
            <w:tcBorders>
              <w:top w:val="single" w:sz="2" w:space="0" w:color="005CA9"/>
              <w:left w:val="nil"/>
              <w:bottom w:val="single" w:sz="2" w:space="0" w:color="005CA9"/>
              <w:right w:val="nil"/>
            </w:tcBorders>
          </w:tcPr>
          <w:p w14:paraId="0B017075" w14:textId="77777777" w:rsidR="00DA61B0" w:rsidRDefault="001D14DA">
            <w:pPr>
              <w:spacing w:after="0" w:line="259" w:lineRule="auto"/>
              <w:ind w:left="0" w:right="0" w:firstLine="0"/>
            </w:pPr>
            <w:r>
              <w:t>Úhrada sešrotování</w:t>
            </w:r>
          </w:p>
        </w:tc>
        <w:tc>
          <w:tcPr>
            <w:tcW w:w="3146" w:type="dxa"/>
            <w:tcBorders>
              <w:top w:val="single" w:sz="2" w:space="0" w:color="005CA9"/>
              <w:left w:val="nil"/>
              <w:bottom w:val="single" w:sz="2" w:space="0" w:color="005CA9"/>
              <w:right w:val="nil"/>
            </w:tcBorders>
          </w:tcPr>
          <w:p w14:paraId="51440275" w14:textId="77777777" w:rsidR="00DA61B0" w:rsidRDefault="001D14DA">
            <w:pPr>
              <w:spacing w:after="0" w:line="259" w:lineRule="auto"/>
              <w:ind w:left="0" w:right="0" w:firstLine="0"/>
            </w:pPr>
            <w:r>
              <w:t>NE / 150 €</w:t>
            </w:r>
          </w:p>
        </w:tc>
      </w:tr>
      <w:tr w:rsidR="00DA61B0" w14:paraId="71FA284E" w14:textId="77777777">
        <w:trPr>
          <w:trHeight w:val="316"/>
        </w:trPr>
        <w:tc>
          <w:tcPr>
            <w:tcW w:w="2296" w:type="dxa"/>
            <w:tcBorders>
              <w:top w:val="single" w:sz="2" w:space="0" w:color="005CA9"/>
              <w:left w:val="nil"/>
              <w:bottom w:val="single" w:sz="5" w:space="0" w:color="005CA9"/>
              <w:right w:val="nil"/>
            </w:tcBorders>
          </w:tcPr>
          <w:p w14:paraId="7B2A3B25" w14:textId="77777777" w:rsidR="00DA61B0" w:rsidRDefault="001D14DA">
            <w:pPr>
              <w:spacing w:after="0" w:line="259" w:lineRule="auto"/>
              <w:ind w:left="85" w:right="0" w:firstLine="0"/>
            </w:pPr>
            <w:r>
              <w:t>Pojistná událost</w:t>
            </w:r>
          </w:p>
        </w:tc>
        <w:tc>
          <w:tcPr>
            <w:tcW w:w="4592" w:type="dxa"/>
            <w:tcBorders>
              <w:top w:val="single" w:sz="2" w:space="0" w:color="005CA9"/>
              <w:left w:val="nil"/>
              <w:bottom w:val="single" w:sz="5" w:space="0" w:color="005CA9"/>
              <w:right w:val="nil"/>
            </w:tcBorders>
          </w:tcPr>
          <w:p w14:paraId="1E2BEC56" w14:textId="77777777" w:rsidR="00DA61B0" w:rsidRDefault="001D14DA">
            <w:pPr>
              <w:spacing w:after="0" w:line="259" w:lineRule="auto"/>
              <w:ind w:left="0" w:right="0" w:firstLine="0"/>
            </w:pPr>
            <w:r>
              <w:t>Půjčka při zadržení, vazbě, uvěznění v zahraničí</w:t>
            </w:r>
          </w:p>
        </w:tc>
        <w:tc>
          <w:tcPr>
            <w:tcW w:w="3146" w:type="dxa"/>
            <w:tcBorders>
              <w:top w:val="single" w:sz="2" w:space="0" w:color="005CA9"/>
              <w:left w:val="nil"/>
              <w:bottom w:val="single" w:sz="5" w:space="0" w:color="005CA9"/>
              <w:right w:val="nil"/>
            </w:tcBorders>
          </w:tcPr>
          <w:p w14:paraId="16165651" w14:textId="77777777" w:rsidR="00DA61B0" w:rsidRDefault="001D14DA">
            <w:pPr>
              <w:spacing w:after="0" w:line="259" w:lineRule="auto"/>
              <w:ind w:left="0" w:right="0" w:firstLine="0"/>
            </w:pPr>
            <w:r>
              <w:t>NE / 7 500 €</w:t>
            </w:r>
          </w:p>
        </w:tc>
      </w:tr>
    </w:tbl>
    <w:p w14:paraId="24E93219" w14:textId="77777777" w:rsidR="00DA61B0" w:rsidRDefault="001D14DA">
      <w:pPr>
        <w:pStyle w:val="Nadpis1"/>
        <w:ind w:left="-5"/>
      </w:pPr>
      <w:r>
        <w:t>Článek 7</w:t>
      </w:r>
    </w:p>
    <w:p w14:paraId="2133A301" w14:textId="77777777" w:rsidR="00DA61B0" w:rsidRDefault="001D14DA">
      <w:pPr>
        <w:pStyle w:val="Nadpis2"/>
        <w:ind w:left="-5"/>
      </w:pPr>
      <w:r>
        <w:t>Rozsah Super Asistence UNIQA</w:t>
      </w:r>
    </w:p>
    <w:p w14:paraId="55012080" w14:textId="77777777" w:rsidR="00DA61B0" w:rsidRDefault="001D14DA">
      <w:pPr>
        <w:numPr>
          <w:ilvl w:val="0"/>
          <w:numId w:val="9"/>
        </w:numPr>
        <w:ind w:right="14" w:hanging="397"/>
      </w:pPr>
      <w:r>
        <w:t xml:space="preserve">V případě pojistné události pojistitel prostřednictvím asistenční služby zorganizuje, případně zorganizuje a uhradí asistenční služby až do výše limitů pojistného plnění uvedených v bodu 3 tohoto článku: a) opravu nepojízdného vozidla na místě události, </w:t>
      </w:r>
      <w:r>
        <w:rPr>
          <w:b/>
        </w:rPr>
        <w:t>nebo</w:t>
      </w:r>
    </w:p>
    <w:p w14:paraId="27489EC0" w14:textId="77777777" w:rsidR="00DA61B0" w:rsidRDefault="001D14DA">
      <w:pPr>
        <w:numPr>
          <w:ilvl w:val="1"/>
          <w:numId w:val="9"/>
        </w:numPr>
        <w:ind w:right="176" w:hanging="283"/>
      </w:pPr>
      <w:r>
        <w:t xml:space="preserve">odtah do nejbližší smluvní opravny nebo jinam až do výše sjednaného limitu pojistného plnění uvedeného v bodu 3 tohoto článku v případě pojistné události v ČR nebo do nejbližší opravny, pokud k pojistné události došlo v zahraničí, </w:t>
      </w:r>
      <w:r>
        <w:rPr>
          <w:b/>
        </w:rPr>
        <w:t>nebo</w:t>
      </w:r>
    </w:p>
    <w:p w14:paraId="27FEF3D5" w14:textId="77777777" w:rsidR="00DA61B0" w:rsidRDefault="001D14DA">
      <w:pPr>
        <w:numPr>
          <w:ilvl w:val="1"/>
          <w:numId w:val="9"/>
        </w:numPr>
        <w:ind w:right="176" w:hanging="283"/>
      </w:pPr>
      <w:r>
        <w:t>uskladnění nepojízdného vozidla na bezpečném místě v případě, že odtah do opravny není z objektivních důvodů možný (např. večerní hodiny, svátek atp.)</w:t>
      </w:r>
    </w:p>
    <w:p w14:paraId="7ADD022D" w14:textId="77777777" w:rsidR="00DA61B0" w:rsidRDefault="001D14DA">
      <w:pPr>
        <w:numPr>
          <w:ilvl w:val="0"/>
          <w:numId w:val="9"/>
        </w:numPr>
        <w:ind w:right="14" w:hanging="397"/>
      </w:pPr>
      <w:r>
        <w:t>V případě, že vozidlo není opravitelné týž den, pojistitel prostřednictvím asistenční služby zorganizuje, případně zorganizuje a uhradí níže uvedené asistenční služby až do výše limitů pojistného plnění uvedených v bodu 3 tohoto článku:</w:t>
      </w:r>
    </w:p>
    <w:p w14:paraId="0BA96359" w14:textId="77777777" w:rsidR="00DA61B0" w:rsidRDefault="001D14DA">
      <w:pPr>
        <w:numPr>
          <w:ilvl w:val="1"/>
          <w:numId w:val="10"/>
        </w:numPr>
        <w:ind w:right="0" w:hanging="283"/>
      </w:pPr>
      <w:r>
        <w:t xml:space="preserve">náhradní ubytování v hotelu, </w:t>
      </w:r>
      <w:r>
        <w:rPr>
          <w:b/>
        </w:rPr>
        <w:t>nebo</w:t>
      </w:r>
    </w:p>
    <w:p w14:paraId="7C550F7E" w14:textId="77777777" w:rsidR="00DA61B0" w:rsidRDefault="001D14DA">
      <w:pPr>
        <w:numPr>
          <w:ilvl w:val="1"/>
          <w:numId w:val="10"/>
        </w:numPr>
        <w:ind w:right="0" w:hanging="283"/>
      </w:pPr>
      <w:r>
        <w:t xml:space="preserve">náhradní vozidlo dle výběru klienta (časový limit uvedený v bodu 3 tohoto článku se vztahuje na vozidlo kategorie B, v případě, že oprávněná osoba požaduje vozidlo vyšší kategorie, bude uplatněn finanční limit, náklady nad tento limit nese oprávněná osoba ze svých vlastních prostředků). Součástí pojistného plnění není služba přistavení a odstavení náhradního vozidla, </w:t>
      </w:r>
      <w:r>
        <w:rPr>
          <w:b/>
        </w:rPr>
        <w:t>nebo</w:t>
      </w:r>
    </w:p>
    <w:p w14:paraId="66403D85" w14:textId="77777777" w:rsidR="00DA61B0" w:rsidRDefault="001D14DA">
      <w:pPr>
        <w:numPr>
          <w:ilvl w:val="1"/>
          <w:numId w:val="10"/>
        </w:numPr>
        <w:ind w:right="0" w:hanging="283"/>
      </w:pPr>
      <w:r>
        <w:t>náhradní dopravou formou taxi za účelem dosažení cíle cesty nebo pro návrat domů</w:t>
      </w:r>
    </w:p>
    <w:p w14:paraId="4985151F" w14:textId="77777777" w:rsidR="00DA61B0" w:rsidRDefault="001D14DA">
      <w:pPr>
        <w:numPr>
          <w:ilvl w:val="1"/>
          <w:numId w:val="10"/>
        </w:numPr>
        <w:ind w:right="0" w:hanging="283"/>
      </w:pPr>
      <w:r>
        <w:t>repatriaci nepojízdného vozidla do ČR v případě, že by oprava nepojízdného vozidla v zahraničí trvala déle než 7 dní.</w:t>
      </w:r>
    </w:p>
    <w:p w14:paraId="11881F21" w14:textId="77777777" w:rsidR="00DA61B0" w:rsidRDefault="001D14DA">
      <w:pPr>
        <w:numPr>
          <w:ilvl w:val="1"/>
          <w:numId w:val="10"/>
        </w:numPr>
        <w:ind w:right="0" w:hanging="283"/>
      </w:pPr>
      <w:r>
        <w:t>sešrotování vraku pojištěného vozidla v případě, že jeho oprava v zahraničí není možná či vhodná, a to včetně pomoci s vyřízením zákonem požadované dokumentace. Nárok na pojistné plnění vzniká oprávněné osobě jen tehdy, pokud zůstatková hodnota nepojízdného vozidla převyšuje náklady repatriace.</w:t>
      </w:r>
    </w:p>
    <w:p w14:paraId="2E1EF8CD" w14:textId="77777777" w:rsidR="00DA61B0" w:rsidRDefault="001D14DA">
      <w:pPr>
        <w:numPr>
          <w:ilvl w:val="1"/>
          <w:numId w:val="10"/>
        </w:numPr>
        <w:ind w:right="0" w:hanging="283"/>
      </w:pPr>
      <w:r>
        <w:t>poskytnutí zajištěné půjčky na složení kauce v případě při zadržení, vzetí do vazby či uvěznění v zahraničí. Nárok na poskytnutí záruky nebo kauce se nevztahuje na soudní řízení z důvodu trestné činnosti, řízení pod vlivem alkoholu, použitím návykové látky nebo přípravku takovou látku obsahující, které ovlivňují závažným způsobem způsobilost pojištěného k řízení dopravního prostředku.</w:t>
      </w:r>
    </w:p>
    <w:p w14:paraId="753B92B5" w14:textId="77777777" w:rsidR="00DA61B0" w:rsidRDefault="001D14DA">
      <w:pPr>
        <w:numPr>
          <w:ilvl w:val="0"/>
          <w:numId w:val="9"/>
        </w:numPr>
        <w:spacing w:after="2"/>
        <w:ind w:right="14" w:hanging="397"/>
      </w:pPr>
      <w:r>
        <w:rPr>
          <w:b/>
        </w:rPr>
        <w:t>Limity pojistného plnění</w:t>
      </w:r>
    </w:p>
    <w:p w14:paraId="0978197A" w14:textId="77777777" w:rsidR="00DA61B0" w:rsidRDefault="001D14DA">
      <w:pPr>
        <w:ind w:left="382" w:right="0" w:hanging="397"/>
      </w:pPr>
      <w:r>
        <w:t xml:space="preserve"> </w:t>
      </w:r>
      <w:r>
        <w:tab/>
      </w:r>
      <w:r>
        <w:t>Uvedený limit pro pojistné plnění při poruchách vozidla a chybách řidiče vztahuje na jeden asistenční zásah. Počet asistenčních zásahů v jednom pojistném roce není omezen.</w:t>
      </w:r>
    </w:p>
    <w:tbl>
      <w:tblPr>
        <w:tblStyle w:val="TableGrid"/>
        <w:tblW w:w="10035" w:type="dxa"/>
        <w:tblInd w:w="397" w:type="dxa"/>
        <w:tblCellMar>
          <w:top w:w="111" w:type="dxa"/>
          <w:left w:w="0" w:type="dxa"/>
          <w:bottom w:w="0" w:type="dxa"/>
          <w:right w:w="115" w:type="dxa"/>
        </w:tblCellMar>
        <w:tblLook w:val="04A0" w:firstRow="1" w:lastRow="0" w:firstColumn="1" w:lastColumn="0" w:noHBand="0" w:noVBand="1"/>
      </w:tblPr>
      <w:tblGrid>
        <w:gridCol w:w="3430"/>
        <w:gridCol w:w="3345"/>
        <w:gridCol w:w="3260"/>
      </w:tblGrid>
      <w:tr w:rsidR="00DA61B0" w14:paraId="36835DBE" w14:textId="77777777">
        <w:trPr>
          <w:trHeight w:val="369"/>
        </w:trPr>
        <w:tc>
          <w:tcPr>
            <w:tcW w:w="3430" w:type="dxa"/>
            <w:tcBorders>
              <w:top w:val="nil"/>
              <w:left w:val="nil"/>
              <w:bottom w:val="nil"/>
              <w:right w:val="nil"/>
            </w:tcBorders>
            <w:shd w:val="clear" w:color="auto" w:fill="005CA9"/>
          </w:tcPr>
          <w:p w14:paraId="5F760A33" w14:textId="77777777" w:rsidR="00DA61B0" w:rsidRDefault="001D14DA">
            <w:pPr>
              <w:spacing w:after="0" w:line="259" w:lineRule="auto"/>
              <w:ind w:left="85" w:right="0" w:firstLine="0"/>
            </w:pPr>
            <w:r>
              <w:rPr>
                <w:b/>
                <w:color w:val="FFFFFF"/>
              </w:rPr>
              <w:t>Limity pojistného plnění</w:t>
            </w:r>
          </w:p>
        </w:tc>
        <w:tc>
          <w:tcPr>
            <w:tcW w:w="3345" w:type="dxa"/>
            <w:tcBorders>
              <w:top w:val="nil"/>
              <w:left w:val="nil"/>
              <w:bottom w:val="nil"/>
              <w:right w:val="nil"/>
            </w:tcBorders>
            <w:shd w:val="clear" w:color="auto" w:fill="005CA9"/>
          </w:tcPr>
          <w:p w14:paraId="4E723F29" w14:textId="77777777" w:rsidR="00DA61B0" w:rsidRDefault="00DA61B0">
            <w:pPr>
              <w:spacing w:after="160" w:line="259" w:lineRule="auto"/>
              <w:ind w:left="0" w:right="0" w:firstLine="0"/>
            </w:pPr>
          </w:p>
        </w:tc>
        <w:tc>
          <w:tcPr>
            <w:tcW w:w="3260" w:type="dxa"/>
            <w:tcBorders>
              <w:top w:val="nil"/>
              <w:left w:val="nil"/>
              <w:bottom w:val="nil"/>
              <w:right w:val="nil"/>
            </w:tcBorders>
            <w:shd w:val="clear" w:color="auto" w:fill="005CA9"/>
          </w:tcPr>
          <w:p w14:paraId="0FEDF2AC" w14:textId="77777777" w:rsidR="00DA61B0" w:rsidRDefault="00DA61B0">
            <w:pPr>
              <w:spacing w:after="160" w:line="259" w:lineRule="auto"/>
              <w:ind w:left="0" w:right="0" w:firstLine="0"/>
            </w:pPr>
          </w:p>
        </w:tc>
      </w:tr>
      <w:tr w:rsidR="00DA61B0" w14:paraId="626B10E8" w14:textId="77777777">
        <w:trPr>
          <w:trHeight w:val="369"/>
        </w:trPr>
        <w:tc>
          <w:tcPr>
            <w:tcW w:w="3430" w:type="dxa"/>
            <w:tcBorders>
              <w:top w:val="nil"/>
              <w:left w:val="nil"/>
              <w:bottom w:val="nil"/>
              <w:right w:val="nil"/>
            </w:tcBorders>
            <w:shd w:val="clear" w:color="auto" w:fill="0081C6"/>
          </w:tcPr>
          <w:p w14:paraId="68B010C5" w14:textId="77777777" w:rsidR="00DA61B0" w:rsidRDefault="001D14DA">
            <w:pPr>
              <w:spacing w:after="0" w:line="259" w:lineRule="auto"/>
              <w:ind w:left="85" w:right="0" w:firstLine="0"/>
            </w:pPr>
            <w:r>
              <w:rPr>
                <w:b/>
                <w:color w:val="FFFFFF"/>
              </w:rPr>
              <w:t>Příčina nepojízdnosti</w:t>
            </w:r>
          </w:p>
        </w:tc>
        <w:tc>
          <w:tcPr>
            <w:tcW w:w="3345" w:type="dxa"/>
            <w:tcBorders>
              <w:top w:val="nil"/>
              <w:left w:val="nil"/>
              <w:bottom w:val="nil"/>
              <w:right w:val="nil"/>
            </w:tcBorders>
            <w:shd w:val="clear" w:color="auto" w:fill="0081C6"/>
          </w:tcPr>
          <w:p w14:paraId="45805219" w14:textId="77777777" w:rsidR="00DA61B0" w:rsidRDefault="001D14DA">
            <w:pPr>
              <w:spacing w:after="0" w:line="259" w:lineRule="auto"/>
              <w:ind w:left="0" w:right="0" w:firstLine="0"/>
            </w:pPr>
            <w:r>
              <w:rPr>
                <w:b/>
                <w:color w:val="FFFFFF"/>
              </w:rPr>
              <w:t>Způsob pomoci</w:t>
            </w:r>
          </w:p>
        </w:tc>
        <w:tc>
          <w:tcPr>
            <w:tcW w:w="3260" w:type="dxa"/>
            <w:tcBorders>
              <w:top w:val="nil"/>
              <w:left w:val="nil"/>
              <w:bottom w:val="nil"/>
              <w:right w:val="nil"/>
            </w:tcBorders>
            <w:shd w:val="clear" w:color="auto" w:fill="0081C6"/>
          </w:tcPr>
          <w:p w14:paraId="66DA5E93" w14:textId="77777777" w:rsidR="00DA61B0" w:rsidRDefault="001D14DA">
            <w:pPr>
              <w:spacing w:after="0" w:line="259" w:lineRule="auto"/>
              <w:ind w:left="0" w:right="0" w:firstLine="0"/>
            </w:pPr>
            <w:r>
              <w:rPr>
                <w:b/>
                <w:color w:val="FFFFFF"/>
              </w:rPr>
              <w:t>CZ / ZAHRANIČÍ</w:t>
            </w:r>
          </w:p>
        </w:tc>
      </w:tr>
    </w:tbl>
    <w:p w14:paraId="40747683" w14:textId="77777777" w:rsidR="00DA61B0" w:rsidRDefault="001D14DA">
      <w:pPr>
        <w:ind w:left="492" w:right="0"/>
      </w:pPr>
      <w:r>
        <w:t xml:space="preserve">Pojistná událost vyjma poruchy </w:t>
      </w:r>
    </w:p>
    <w:p w14:paraId="4EF35E73" w14:textId="77777777" w:rsidR="00DA61B0" w:rsidRDefault="001D14DA">
      <w:pPr>
        <w:ind w:left="482" w:right="1189" w:firstLine="6690"/>
      </w:pPr>
      <w:r>
        <w:t>Reálné náklady /400 € a chyby řidiče</w:t>
      </w:r>
    </w:p>
    <w:p w14:paraId="697B39F7" w14:textId="77777777" w:rsidR="00DA61B0" w:rsidRDefault="001D14DA">
      <w:pPr>
        <w:spacing w:after="63" w:line="259" w:lineRule="auto"/>
        <w:ind w:left="397" w:right="0" w:firstLine="0"/>
      </w:pPr>
      <w:r>
        <w:rPr>
          <w:rFonts w:ascii="Calibri" w:eastAsia="Calibri" w:hAnsi="Calibri" w:cs="Calibri"/>
          <w:noProof/>
          <w:sz w:val="22"/>
        </w:rPr>
        <mc:AlternateContent>
          <mc:Choice Requires="wpg">
            <w:drawing>
              <wp:inline distT="0" distB="0" distL="0" distR="0" wp14:anchorId="1F5B9DAA" wp14:editId="18BC4C0A">
                <wp:extent cx="6371999" cy="3810"/>
                <wp:effectExtent l="0" t="0" r="0" b="0"/>
                <wp:docPr id="9828" name="Group 9828"/>
                <wp:cNvGraphicFramePr/>
                <a:graphic xmlns:a="http://schemas.openxmlformats.org/drawingml/2006/main">
                  <a:graphicData uri="http://schemas.microsoft.com/office/word/2010/wordprocessingGroup">
                    <wpg:wgp>
                      <wpg:cNvGrpSpPr/>
                      <wpg:grpSpPr>
                        <a:xfrm>
                          <a:off x="0" y="0"/>
                          <a:ext cx="6371999" cy="3810"/>
                          <a:chOff x="0" y="0"/>
                          <a:chExt cx="6371999" cy="3810"/>
                        </a:xfrm>
                      </wpg:grpSpPr>
                      <wps:wsp>
                        <wps:cNvPr id="475" name="Shape 475"/>
                        <wps:cNvSpPr/>
                        <wps:spPr>
                          <a:xfrm>
                            <a:off x="0" y="0"/>
                            <a:ext cx="2123999" cy="0"/>
                          </a:xfrm>
                          <a:custGeom>
                            <a:avLst/>
                            <a:gdLst/>
                            <a:ahLst/>
                            <a:cxnLst/>
                            <a:rect l="0" t="0" r="0" b="0"/>
                            <a:pathLst>
                              <a:path w="2123999">
                                <a:moveTo>
                                  <a:pt x="0" y="0"/>
                                </a:moveTo>
                                <a:lnTo>
                                  <a:pt x="2123999" y="0"/>
                                </a:lnTo>
                              </a:path>
                            </a:pathLst>
                          </a:custGeom>
                          <a:ln w="3810" cap="flat">
                            <a:miter lim="127000"/>
                          </a:ln>
                        </wps:spPr>
                        <wps:style>
                          <a:lnRef idx="1">
                            <a:srgbClr val="005CA9"/>
                          </a:lnRef>
                          <a:fillRef idx="0">
                            <a:srgbClr val="000000">
                              <a:alpha val="0"/>
                            </a:srgbClr>
                          </a:fillRef>
                          <a:effectRef idx="0">
                            <a:scrgbClr r="0" g="0" b="0"/>
                          </a:effectRef>
                          <a:fontRef idx="none"/>
                        </wps:style>
                        <wps:bodyPr/>
                      </wps:wsp>
                      <wps:wsp>
                        <wps:cNvPr id="476" name="Shape 476"/>
                        <wps:cNvSpPr/>
                        <wps:spPr>
                          <a:xfrm>
                            <a:off x="4248000" y="0"/>
                            <a:ext cx="2123999" cy="0"/>
                          </a:xfrm>
                          <a:custGeom>
                            <a:avLst/>
                            <a:gdLst/>
                            <a:ahLst/>
                            <a:cxnLst/>
                            <a:rect l="0" t="0" r="0" b="0"/>
                            <a:pathLst>
                              <a:path w="2123999">
                                <a:moveTo>
                                  <a:pt x="0" y="0"/>
                                </a:moveTo>
                                <a:lnTo>
                                  <a:pt x="2123999" y="0"/>
                                </a:lnTo>
                              </a:path>
                            </a:pathLst>
                          </a:custGeom>
                          <a:ln w="3810" cap="flat">
                            <a:miter lim="127000"/>
                          </a:ln>
                        </wps:spPr>
                        <wps:style>
                          <a:lnRef idx="1">
                            <a:srgbClr val="005CA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828" style="width:501.732pt;height:0.3pt;mso-position-horizontal-relative:char;mso-position-vertical-relative:line" coordsize="63719,38">
                <v:shape id="Shape 475" style="position:absolute;width:21239;height:0;left:0;top:0;" coordsize="2123999,0" path="m0,0l2123999,0">
                  <v:stroke weight="0.3pt" endcap="flat" joinstyle="miter" miterlimit="10" on="true" color="#005ca9"/>
                  <v:fill on="false" color="#000000" opacity="0"/>
                </v:shape>
                <v:shape id="Shape 476" style="position:absolute;width:21239;height:0;left:42480;top:0;" coordsize="2123999,0" path="m0,0l2123999,0">
                  <v:stroke weight="0.3pt" endcap="flat" joinstyle="miter" miterlimit="10" on="true" color="#005ca9"/>
                  <v:fill on="false" color="#000000" opacity="0"/>
                </v:shape>
              </v:group>
            </w:pict>
          </mc:Fallback>
        </mc:AlternateContent>
      </w:r>
    </w:p>
    <w:p w14:paraId="376BB0EB" w14:textId="77777777" w:rsidR="00DA61B0" w:rsidRDefault="001D14DA">
      <w:pPr>
        <w:tabs>
          <w:tab w:val="center" w:pos="852"/>
          <w:tab w:val="center" w:pos="5073"/>
          <w:tab w:val="center" w:pos="7945"/>
        </w:tabs>
        <w:ind w:left="0" w:right="0" w:firstLine="0"/>
      </w:pPr>
      <w:r>
        <w:rPr>
          <w:rFonts w:ascii="Calibri" w:eastAsia="Calibri" w:hAnsi="Calibri" w:cs="Calibri"/>
          <w:sz w:val="22"/>
        </w:rPr>
        <w:tab/>
      </w:r>
      <w:r>
        <w:t>Porucha</w:t>
      </w:r>
      <w:r>
        <w:tab/>
        <w:t>Oprava na místě nebo odtah</w:t>
      </w:r>
      <w:r>
        <w:tab/>
        <w:t>10 000 Kč / 400 €</w:t>
      </w:r>
    </w:p>
    <w:tbl>
      <w:tblPr>
        <w:tblStyle w:val="TableGrid"/>
        <w:tblW w:w="10035" w:type="dxa"/>
        <w:tblInd w:w="397" w:type="dxa"/>
        <w:tblCellMar>
          <w:top w:w="85" w:type="dxa"/>
          <w:left w:w="0" w:type="dxa"/>
          <w:bottom w:w="0" w:type="dxa"/>
          <w:right w:w="115" w:type="dxa"/>
        </w:tblCellMar>
        <w:tblLook w:val="04A0" w:firstRow="1" w:lastRow="0" w:firstColumn="1" w:lastColumn="0" w:noHBand="0" w:noVBand="1"/>
      </w:tblPr>
      <w:tblGrid>
        <w:gridCol w:w="3430"/>
        <w:gridCol w:w="3345"/>
        <w:gridCol w:w="3260"/>
      </w:tblGrid>
      <w:tr w:rsidR="00DA61B0" w14:paraId="6ED46E69" w14:textId="77777777">
        <w:trPr>
          <w:trHeight w:val="369"/>
        </w:trPr>
        <w:tc>
          <w:tcPr>
            <w:tcW w:w="3430" w:type="dxa"/>
            <w:tcBorders>
              <w:top w:val="single" w:sz="2" w:space="0" w:color="005CA9"/>
              <w:left w:val="nil"/>
              <w:bottom w:val="single" w:sz="2" w:space="0" w:color="005CA9"/>
              <w:right w:val="nil"/>
            </w:tcBorders>
          </w:tcPr>
          <w:p w14:paraId="396EE856" w14:textId="77777777" w:rsidR="00DA61B0" w:rsidRDefault="001D14DA">
            <w:pPr>
              <w:spacing w:after="0" w:line="259" w:lineRule="auto"/>
              <w:ind w:left="85" w:right="0" w:firstLine="0"/>
            </w:pPr>
            <w:r>
              <w:t>Chyba řidiče</w:t>
            </w:r>
          </w:p>
        </w:tc>
        <w:tc>
          <w:tcPr>
            <w:tcW w:w="3345" w:type="dxa"/>
            <w:tcBorders>
              <w:top w:val="nil"/>
              <w:left w:val="nil"/>
              <w:bottom w:val="single" w:sz="2" w:space="0" w:color="005CA9"/>
              <w:right w:val="nil"/>
            </w:tcBorders>
          </w:tcPr>
          <w:p w14:paraId="6ED3F139" w14:textId="77777777" w:rsidR="00DA61B0" w:rsidRDefault="00DA61B0">
            <w:pPr>
              <w:spacing w:after="160" w:line="259" w:lineRule="auto"/>
              <w:ind w:left="0" w:right="0" w:firstLine="0"/>
            </w:pPr>
          </w:p>
        </w:tc>
        <w:tc>
          <w:tcPr>
            <w:tcW w:w="3260" w:type="dxa"/>
            <w:tcBorders>
              <w:top w:val="single" w:sz="2" w:space="0" w:color="005CA9"/>
              <w:left w:val="nil"/>
              <w:bottom w:val="single" w:sz="2" w:space="0" w:color="005CA9"/>
              <w:right w:val="nil"/>
            </w:tcBorders>
          </w:tcPr>
          <w:p w14:paraId="53DA0A92" w14:textId="77777777" w:rsidR="00DA61B0" w:rsidRDefault="001D14DA">
            <w:pPr>
              <w:spacing w:after="0" w:line="259" w:lineRule="auto"/>
              <w:ind w:left="0" w:right="0" w:firstLine="0"/>
            </w:pPr>
            <w:r>
              <w:t>3 000 Kč / 175 €</w:t>
            </w:r>
          </w:p>
        </w:tc>
      </w:tr>
      <w:tr w:rsidR="00DA61B0" w14:paraId="40B785BC" w14:textId="77777777">
        <w:trPr>
          <w:trHeight w:val="369"/>
        </w:trPr>
        <w:tc>
          <w:tcPr>
            <w:tcW w:w="3430" w:type="dxa"/>
            <w:vMerge w:val="restart"/>
            <w:tcBorders>
              <w:top w:val="single" w:sz="2" w:space="0" w:color="005CA9"/>
              <w:left w:val="nil"/>
              <w:bottom w:val="single" w:sz="5" w:space="0" w:color="005CA9"/>
              <w:right w:val="nil"/>
            </w:tcBorders>
            <w:vAlign w:val="center"/>
          </w:tcPr>
          <w:p w14:paraId="669C9725" w14:textId="77777777" w:rsidR="00DA61B0" w:rsidRDefault="001D14DA">
            <w:pPr>
              <w:spacing w:after="0" w:line="259" w:lineRule="auto"/>
              <w:ind w:left="85" w:right="1208" w:firstLine="0"/>
            </w:pPr>
            <w:r>
              <w:lastRenderedPageBreak/>
              <w:t xml:space="preserve">Pojistná </w:t>
            </w:r>
            <w:proofErr w:type="gramStart"/>
            <w:r>
              <w:t>událost  s</w:t>
            </w:r>
            <w:proofErr w:type="gramEnd"/>
            <w:r>
              <w:t xml:space="preserve"> výjimkou chyby řidiče</w:t>
            </w:r>
          </w:p>
        </w:tc>
        <w:tc>
          <w:tcPr>
            <w:tcW w:w="3345" w:type="dxa"/>
            <w:tcBorders>
              <w:top w:val="single" w:sz="2" w:space="0" w:color="005CA9"/>
              <w:left w:val="nil"/>
              <w:bottom w:val="single" w:sz="2" w:space="0" w:color="005CA9"/>
              <w:right w:val="nil"/>
            </w:tcBorders>
          </w:tcPr>
          <w:p w14:paraId="205F60F4" w14:textId="77777777" w:rsidR="00DA61B0" w:rsidRDefault="001D14DA">
            <w:pPr>
              <w:spacing w:after="0" w:line="259" w:lineRule="auto"/>
              <w:ind w:left="0" w:right="0" w:firstLine="0"/>
            </w:pPr>
            <w:r>
              <w:t>Náhradní vozidlo</w:t>
            </w:r>
          </w:p>
        </w:tc>
        <w:tc>
          <w:tcPr>
            <w:tcW w:w="3260" w:type="dxa"/>
            <w:tcBorders>
              <w:top w:val="single" w:sz="2" w:space="0" w:color="005CA9"/>
              <w:left w:val="nil"/>
              <w:bottom w:val="single" w:sz="2" w:space="0" w:color="005CA9"/>
              <w:right w:val="nil"/>
            </w:tcBorders>
          </w:tcPr>
          <w:p w14:paraId="06172372" w14:textId="77777777" w:rsidR="00DA61B0" w:rsidRDefault="001D14DA">
            <w:pPr>
              <w:spacing w:after="0" w:line="259" w:lineRule="auto"/>
              <w:ind w:left="0" w:right="0" w:firstLine="0"/>
            </w:pPr>
            <w:r>
              <w:t>7 dnů nebo 7 000 Kč / 300 €</w:t>
            </w:r>
          </w:p>
        </w:tc>
      </w:tr>
      <w:tr w:rsidR="00DA61B0" w14:paraId="1E1A129F" w14:textId="77777777">
        <w:trPr>
          <w:trHeight w:val="369"/>
        </w:trPr>
        <w:tc>
          <w:tcPr>
            <w:tcW w:w="0" w:type="auto"/>
            <w:vMerge/>
            <w:tcBorders>
              <w:top w:val="nil"/>
              <w:left w:val="nil"/>
              <w:bottom w:val="nil"/>
              <w:right w:val="nil"/>
            </w:tcBorders>
          </w:tcPr>
          <w:p w14:paraId="5B925569" w14:textId="77777777" w:rsidR="00DA61B0" w:rsidRDefault="00DA61B0">
            <w:pPr>
              <w:spacing w:after="160" w:line="259" w:lineRule="auto"/>
              <w:ind w:left="0" w:right="0" w:firstLine="0"/>
            </w:pPr>
          </w:p>
        </w:tc>
        <w:tc>
          <w:tcPr>
            <w:tcW w:w="3345" w:type="dxa"/>
            <w:tcBorders>
              <w:top w:val="single" w:sz="2" w:space="0" w:color="005CA9"/>
              <w:left w:val="nil"/>
              <w:bottom w:val="single" w:sz="2" w:space="0" w:color="005CA9"/>
              <w:right w:val="nil"/>
            </w:tcBorders>
          </w:tcPr>
          <w:p w14:paraId="17E38E5D" w14:textId="77777777" w:rsidR="00DA61B0" w:rsidRDefault="001D14DA">
            <w:pPr>
              <w:spacing w:after="0" w:line="259" w:lineRule="auto"/>
              <w:ind w:left="0" w:right="0" w:firstLine="0"/>
            </w:pPr>
            <w:r>
              <w:t>TAXI</w:t>
            </w:r>
          </w:p>
        </w:tc>
        <w:tc>
          <w:tcPr>
            <w:tcW w:w="3260" w:type="dxa"/>
            <w:tcBorders>
              <w:top w:val="single" w:sz="2" w:space="0" w:color="005CA9"/>
              <w:left w:val="nil"/>
              <w:bottom w:val="single" w:sz="2" w:space="0" w:color="005CA9"/>
              <w:right w:val="nil"/>
            </w:tcBorders>
          </w:tcPr>
          <w:p w14:paraId="0FD94ADF" w14:textId="77777777" w:rsidR="00DA61B0" w:rsidRDefault="001D14DA">
            <w:pPr>
              <w:spacing w:after="0" w:line="259" w:lineRule="auto"/>
              <w:ind w:left="0" w:right="0" w:firstLine="0"/>
            </w:pPr>
            <w:r>
              <w:t>1 000 Kč / 100 €</w:t>
            </w:r>
          </w:p>
        </w:tc>
      </w:tr>
      <w:tr w:rsidR="00DA61B0" w14:paraId="566B7416" w14:textId="77777777">
        <w:trPr>
          <w:trHeight w:val="556"/>
        </w:trPr>
        <w:tc>
          <w:tcPr>
            <w:tcW w:w="0" w:type="auto"/>
            <w:vMerge/>
            <w:tcBorders>
              <w:top w:val="nil"/>
              <w:left w:val="nil"/>
              <w:bottom w:val="nil"/>
              <w:right w:val="nil"/>
            </w:tcBorders>
          </w:tcPr>
          <w:p w14:paraId="69492DC8" w14:textId="77777777" w:rsidR="00DA61B0" w:rsidRDefault="00DA61B0">
            <w:pPr>
              <w:spacing w:after="160" w:line="259" w:lineRule="auto"/>
              <w:ind w:left="0" w:right="0" w:firstLine="0"/>
            </w:pPr>
          </w:p>
        </w:tc>
        <w:tc>
          <w:tcPr>
            <w:tcW w:w="3345" w:type="dxa"/>
            <w:tcBorders>
              <w:top w:val="single" w:sz="2" w:space="0" w:color="005CA9"/>
              <w:left w:val="nil"/>
              <w:bottom w:val="single" w:sz="2" w:space="0" w:color="005CA9"/>
              <w:right w:val="nil"/>
            </w:tcBorders>
            <w:vAlign w:val="center"/>
          </w:tcPr>
          <w:p w14:paraId="376E518F" w14:textId="77777777" w:rsidR="00DA61B0" w:rsidRDefault="001D14DA">
            <w:pPr>
              <w:spacing w:after="0" w:line="259" w:lineRule="auto"/>
              <w:ind w:left="0" w:right="0" w:firstLine="0"/>
            </w:pPr>
            <w:r>
              <w:t>Ubytování v hotelu</w:t>
            </w:r>
          </w:p>
        </w:tc>
        <w:tc>
          <w:tcPr>
            <w:tcW w:w="3260" w:type="dxa"/>
            <w:tcBorders>
              <w:top w:val="single" w:sz="2" w:space="0" w:color="005CA9"/>
              <w:left w:val="nil"/>
              <w:bottom w:val="single" w:sz="2" w:space="0" w:color="005CA9"/>
              <w:right w:val="nil"/>
            </w:tcBorders>
          </w:tcPr>
          <w:p w14:paraId="1E3BB71D" w14:textId="77777777" w:rsidR="00DA61B0" w:rsidRDefault="001D14DA">
            <w:pPr>
              <w:spacing w:after="0" w:line="259" w:lineRule="auto"/>
              <w:ind w:left="0" w:right="0" w:firstLine="0"/>
            </w:pPr>
            <w:r>
              <w:t xml:space="preserve">3 noci – 2 500 Kč/ os/noc  </w:t>
            </w:r>
          </w:p>
          <w:p w14:paraId="73EC970B" w14:textId="77777777" w:rsidR="00DA61B0" w:rsidRDefault="001D14DA">
            <w:pPr>
              <w:spacing w:after="0" w:line="259" w:lineRule="auto"/>
              <w:ind w:left="0" w:right="0" w:firstLine="0"/>
            </w:pPr>
            <w:r>
              <w:t>/ 250 €/os/noc</w:t>
            </w:r>
          </w:p>
        </w:tc>
      </w:tr>
      <w:tr w:rsidR="00DA61B0" w14:paraId="74131C5F" w14:textId="77777777">
        <w:trPr>
          <w:trHeight w:val="556"/>
        </w:trPr>
        <w:tc>
          <w:tcPr>
            <w:tcW w:w="0" w:type="auto"/>
            <w:vMerge/>
            <w:tcBorders>
              <w:top w:val="nil"/>
              <w:left w:val="nil"/>
              <w:bottom w:val="nil"/>
              <w:right w:val="nil"/>
            </w:tcBorders>
          </w:tcPr>
          <w:p w14:paraId="735149D4" w14:textId="77777777" w:rsidR="00DA61B0" w:rsidRDefault="00DA61B0">
            <w:pPr>
              <w:spacing w:after="160" w:line="259" w:lineRule="auto"/>
              <w:ind w:left="0" w:right="0" w:firstLine="0"/>
            </w:pPr>
          </w:p>
        </w:tc>
        <w:tc>
          <w:tcPr>
            <w:tcW w:w="3345" w:type="dxa"/>
            <w:tcBorders>
              <w:top w:val="single" w:sz="2" w:space="0" w:color="005CA9"/>
              <w:left w:val="nil"/>
              <w:bottom w:val="single" w:sz="2" w:space="0" w:color="005CA9"/>
              <w:right w:val="nil"/>
            </w:tcBorders>
          </w:tcPr>
          <w:p w14:paraId="108A420E" w14:textId="77777777" w:rsidR="00DA61B0" w:rsidRDefault="001D14DA">
            <w:pPr>
              <w:spacing w:after="0" w:line="259" w:lineRule="auto"/>
              <w:ind w:left="0" w:right="0" w:firstLine="0"/>
            </w:pPr>
            <w:r>
              <w:t xml:space="preserve">Repatriace do ČR  </w:t>
            </w:r>
          </w:p>
          <w:p w14:paraId="2314C644" w14:textId="77777777" w:rsidR="00DA61B0" w:rsidRDefault="001D14DA">
            <w:pPr>
              <w:spacing w:after="0" w:line="259" w:lineRule="auto"/>
              <w:ind w:left="0" w:right="0" w:firstLine="0"/>
            </w:pPr>
            <w:r>
              <w:t>(oprava delší než 7 dnů)</w:t>
            </w:r>
          </w:p>
        </w:tc>
        <w:tc>
          <w:tcPr>
            <w:tcW w:w="3260" w:type="dxa"/>
            <w:tcBorders>
              <w:top w:val="single" w:sz="2" w:space="0" w:color="005CA9"/>
              <w:left w:val="nil"/>
              <w:bottom w:val="single" w:sz="2" w:space="0" w:color="005CA9"/>
              <w:right w:val="nil"/>
            </w:tcBorders>
            <w:vAlign w:val="center"/>
          </w:tcPr>
          <w:p w14:paraId="6F06D480" w14:textId="77777777" w:rsidR="00DA61B0" w:rsidRDefault="001D14DA">
            <w:pPr>
              <w:spacing w:after="0" w:line="259" w:lineRule="auto"/>
              <w:ind w:left="0" w:right="0" w:firstLine="0"/>
            </w:pPr>
            <w:r>
              <w:t>NE / 2 000 €</w:t>
            </w:r>
          </w:p>
        </w:tc>
      </w:tr>
      <w:tr w:rsidR="00DA61B0" w14:paraId="683F25C8" w14:textId="77777777">
        <w:trPr>
          <w:trHeight w:val="369"/>
        </w:trPr>
        <w:tc>
          <w:tcPr>
            <w:tcW w:w="0" w:type="auto"/>
            <w:vMerge/>
            <w:tcBorders>
              <w:top w:val="nil"/>
              <w:left w:val="nil"/>
              <w:bottom w:val="nil"/>
              <w:right w:val="nil"/>
            </w:tcBorders>
          </w:tcPr>
          <w:p w14:paraId="1C345BAE" w14:textId="77777777" w:rsidR="00DA61B0" w:rsidRDefault="00DA61B0">
            <w:pPr>
              <w:spacing w:after="160" w:line="259" w:lineRule="auto"/>
              <w:ind w:left="0" w:right="0" w:firstLine="0"/>
            </w:pPr>
          </w:p>
        </w:tc>
        <w:tc>
          <w:tcPr>
            <w:tcW w:w="3345" w:type="dxa"/>
            <w:tcBorders>
              <w:top w:val="single" w:sz="2" w:space="0" w:color="005CA9"/>
              <w:left w:val="nil"/>
              <w:bottom w:val="single" w:sz="2" w:space="0" w:color="005CA9"/>
              <w:right w:val="nil"/>
            </w:tcBorders>
          </w:tcPr>
          <w:p w14:paraId="1FADDCBB" w14:textId="77777777" w:rsidR="00DA61B0" w:rsidRDefault="001D14DA">
            <w:pPr>
              <w:spacing w:after="0" w:line="259" w:lineRule="auto"/>
              <w:ind w:left="0" w:right="0" w:firstLine="0"/>
            </w:pPr>
            <w:r>
              <w:t>Úhrada sešrotování</w:t>
            </w:r>
          </w:p>
        </w:tc>
        <w:tc>
          <w:tcPr>
            <w:tcW w:w="3260" w:type="dxa"/>
            <w:tcBorders>
              <w:top w:val="single" w:sz="2" w:space="0" w:color="005CA9"/>
              <w:left w:val="nil"/>
              <w:bottom w:val="single" w:sz="2" w:space="0" w:color="005CA9"/>
              <w:right w:val="nil"/>
            </w:tcBorders>
          </w:tcPr>
          <w:p w14:paraId="6BF9C673" w14:textId="77777777" w:rsidR="00DA61B0" w:rsidRDefault="001D14DA">
            <w:pPr>
              <w:spacing w:after="0" w:line="259" w:lineRule="auto"/>
              <w:ind w:left="0" w:right="0" w:firstLine="0"/>
            </w:pPr>
            <w:r>
              <w:t>NE / 150 €</w:t>
            </w:r>
          </w:p>
        </w:tc>
      </w:tr>
      <w:tr w:rsidR="00DA61B0" w14:paraId="7AC6C53A" w14:textId="77777777">
        <w:trPr>
          <w:trHeight w:val="556"/>
        </w:trPr>
        <w:tc>
          <w:tcPr>
            <w:tcW w:w="0" w:type="auto"/>
            <w:vMerge/>
            <w:tcBorders>
              <w:top w:val="nil"/>
              <w:left w:val="nil"/>
              <w:bottom w:val="single" w:sz="5" w:space="0" w:color="005CA9"/>
              <w:right w:val="nil"/>
            </w:tcBorders>
          </w:tcPr>
          <w:p w14:paraId="59995B2C" w14:textId="77777777" w:rsidR="00DA61B0" w:rsidRDefault="00DA61B0">
            <w:pPr>
              <w:spacing w:after="160" w:line="259" w:lineRule="auto"/>
              <w:ind w:left="0" w:right="0" w:firstLine="0"/>
            </w:pPr>
          </w:p>
        </w:tc>
        <w:tc>
          <w:tcPr>
            <w:tcW w:w="3345" w:type="dxa"/>
            <w:tcBorders>
              <w:top w:val="single" w:sz="2" w:space="0" w:color="005CA9"/>
              <w:left w:val="nil"/>
              <w:bottom w:val="single" w:sz="5" w:space="0" w:color="005CA9"/>
              <w:right w:val="nil"/>
            </w:tcBorders>
          </w:tcPr>
          <w:p w14:paraId="6B4B87F0" w14:textId="77777777" w:rsidR="00DA61B0" w:rsidRDefault="001D14DA">
            <w:pPr>
              <w:spacing w:after="0" w:line="259" w:lineRule="auto"/>
              <w:ind w:left="0" w:right="21" w:firstLine="0"/>
            </w:pPr>
            <w:r>
              <w:t>půjčka při zadržení, vazba, uvěznění v zahraničí</w:t>
            </w:r>
          </w:p>
        </w:tc>
        <w:tc>
          <w:tcPr>
            <w:tcW w:w="3260" w:type="dxa"/>
            <w:tcBorders>
              <w:top w:val="single" w:sz="2" w:space="0" w:color="005CA9"/>
              <w:left w:val="nil"/>
              <w:bottom w:val="single" w:sz="5" w:space="0" w:color="005CA9"/>
              <w:right w:val="nil"/>
            </w:tcBorders>
            <w:vAlign w:val="center"/>
          </w:tcPr>
          <w:p w14:paraId="4BAB040A" w14:textId="77777777" w:rsidR="00DA61B0" w:rsidRDefault="001D14DA">
            <w:pPr>
              <w:spacing w:after="0" w:line="259" w:lineRule="auto"/>
              <w:ind w:left="0" w:right="0" w:firstLine="0"/>
            </w:pPr>
            <w:r>
              <w:t>NE / 7 500 €</w:t>
            </w:r>
          </w:p>
        </w:tc>
      </w:tr>
    </w:tbl>
    <w:p w14:paraId="36893ADB" w14:textId="77777777" w:rsidR="00DA61B0" w:rsidRDefault="001D14DA">
      <w:pPr>
        <w:pStyle w:val="Nadpis1"/>
        <w:ind w:left="-5"/>
      </w:pPr>
      <w:r>
        <w:t>Článek 8</w:t>
      </w:r>
    </w:p>
    <w:p w14:paraId="49A3B5E8" w14:textId="77777777" w:rsidR="00DA61B0" w:rsidRDefault="001D14DA">
      <w:pPr>
        <w:pStyle w:val="Nadpis2"/>
        <w:ind w:left="-5"/>
      </w:pPr>
      <w:r>
        <w:t xml:space="preserve">Rozsah </w:t>
      </w:r>
      <w:proofErr w:type="spellStart"/>
      <w:r>
        <w:t>bezlimitní</w:t>
      </w:r>
      <w:proofErr w:type="spellEnd"/>
      <w:r>
        <w:t xml:space="preserve"> Asistence</w:t>
      </w:r>
    </w:p>
    <w:p w14:paraId="288650A9" w14:textId="77777777" w:rsidR="00DA61B0" w:rsidRDefault="001D14DA">
      <w:pPr>
        <w:numPr>
          <w:ilvl w:val="0"/>
          <w:numId w:val="11"/>
        </w:numPr>
        <w:spacing w:after="0" w:line="250" w:lineRule="auto"/>
        <w:ind w:right="286" w:hanging="397"/>
      </w:pPr>
      <w:r>
        <w:t>O způsobu pomoci rozhoduje asistenční služba a to tak, aby celkový průběh asistence byl optimální ve vztahu k potřebám klienta, počtu asistovaných osob a racionálnímu vynaložení nákladů nutných k likvidaci pojistných událostí.</w:t>
      </w:r>
    </w:p>
    <w:p w14:paraId="43D132E5" w14:textId="77777777" w:rsidR="00DA61B0" w:rsidRDefault="001D14DA">
      <w:pPr>
        <w:numPr>
          <w:ilvl w:val="0"/>
          <w:numId w:val="11"/>
        </w:numPr>
        <w:ind w:right="286" w:hanging="397"/>
      </w:pPr>
      <w:r>
        <w:t>Přehled příčin nepojízdnosti a způsobu jejich řešení</w:t>
      </w:r>
    </w:p>
    <w:tbl>
      <w:tblPr>
        <w:tblStyle w:val="TableGrid"/>
        <w:tblW w:w="10035" w:type="dxa"/>
        <w:tblInd w:w="397" w:type="dxa"/>
        <w:tblCellMar>
          <w:top w:w="85" w:type="dxa"/>
          <w:left w:w="0" w:type="dxa"/>
          <w:bottom w:w="0" w:type="dxa"/>
          <w:right w:w="115" w:type="dxa"/>
        </w:tblCellMar>
        <w:tblLook w:val="04A0" w:firstRow="1" w:lastRow="0" w:firstColumn="1" w:lastColumn="0" w:noHBand="0" w:noVBand="1"/>
      </w:tblPr>
      <w:tblGrid>
        <w:gridCol w:w="2580"/>
        <w:gridCol w:w="4195"/>
        <w:gridCol w:w="3260"/>
      </w:tblGrid>
      <w:tr w:rsidR="00DA61B0" w14:paraId="009657EA" w14:textId="77777777">
        <w:trPr>
          <w:trHeight w:val="316"/>
        </w:trPr>
        <w:tc>
          <w:tcPr>
            <w:tcW w:w="2580" w:type="dxa"/>
            <w:tcBorders>
              <w:top w:val="nil"/>
              <w:left w:val="nil"/>
              <w:bottom w:val="nil"/>
              <w:right w:val="nil"/>
            </w:tcBorders>
            <w:shd w:val="clear" w:color="auto" w:fill="005CA9"/>
          </w:tcPr>
          <w:p w14:paraId="4B9A4A51" w14:textId="77777777" w:rsidR="00DA61B0" w:rsidRDefault="001D14DA">
            <w:pPr>
              <w:spacing w:after="0" w:line="259" w:lineRule="auto"/>
              <w:ind w:left="85" w:right="0" w:firstLine="0"/>
            </w:pPr>
            <w:r>
              <w:rPr>
                <w:b/>
                <w:color w:val="FFFFFF"/>
              </w:rPr>
              <w:t>Limity pojistného plnění</w:t>
            </w:r>
          </w:p>
        </w:tc>
        <w:tc>
          <w:tcPr>
            <w:tcW w:w="4195" w:type="dxa"/>
            <w:tcBorders>
              <w:top w:val="nil"/>
              <w:left w:val="nil"/>
              <w:bottom w:val="nil"/>
              <w:right w:val="nil"/>
            </w:tcBorders>
            <w:shd w:val="clear" w:color="auto" w:fill="005CA9"/>
          </w:tcPr>
          <w:p w14:paraId="7921D812" w14:textId="77777777" w:rsidR="00DA61B0" w:rsidRDefault="00DA61B0">
            <w:pPr>
              <w:spacing w:after="160" w:line="259" w:lineRule="auto"/>
              <w:ind w:left="0" w:right="0" w:firstLine="0"/>
            </w:pPr>
          </w:p>
        </w:tc>
        <w:tc>
          <w:tcPr>
            <w:tcW w:w="3260" w:type="dxa"/>
            <w:tcBorders>
              <w:top w:val="nil"/>
              <w:left w:val="nil"/>
              <w:bottom w:val="nil"/>
              <w:right w:val="nil"/>
            </w:tcBorders>
            <w:shd w:val="clear" w:color="auto" w:fill="005CA9"/>
          </w:tcPr>
          <w:p w14:paraId="226B11CB" w14:textId="77777777" w:rsidR="00DA61B0" w:rsidRDefault="00DA61B0">
            <w:pPr>
              <w:spacing w:after="160" w:line="259" w:lineRule="auto"/>
              <w:ind w:left="0" w:right="0" w:firstLine="0"/>
            </w:pPr>
          </w:p>
        </w:tc>
      </w:tr>
      <w:tr w:rsidR="00DA61B0" w14:paraId="1B0FF1FC" w14:textId="77777777">
        <w:trPr>
          <w:trHeight w:val="316"/>
        </w:trPr>
        <w:tc>
          <w:tcPr>
            <w:tcW w:w="2580" w:type="dxa"/>
            <w:tcBorders>
              <w:top w:val="nil"/>
              <w:left w:val="nil"/>
              <w:bottom w:val="nil"/>
              <w:right w:val="nil"/>
            </w:tcBorders>
            <w:shd w:val="clear" w:color="auto" w:fill="0081C6"/>
          </w:tcPr>
          <w:p w14:paraId="22B76435" w14:textId="77777777" w:rsidR="00DA61B0" w:rsidRDefault="001D14DA">
            <w:pPr>
              <w:spacing w:after="0" w:line="259" w:lineRule="auto"/>
              <w:ind w:left="85" w:right="0" w:firstLine="0"/>
            </w:pPr>
            <w:r>
              <w:rPr>
                <w:b/>
                <w:color w:val="FFFFFF"/>
              </w:rPr>
              <w:t>Příčina nepojízdnosti</w:t>
            </w:r>
          </w:p>
        </w:tc>
        <w:tc>
          <w:tcPr>
            <w:tcW w:w="4195" w:type="dxa"/>
            <w:tcBorders>
              <w:top w:val="nil"/>
              <w:left w:val="nil"/>
              <w:bottom w:val="nil"/>
              <w:right w:val="nil"/>
            </w:tcBorders>
            <w:shd w:val="clear" w:color="auto" w:fill="0081C6"/>
          </w:tcPr>
          <w:p w14:paraId="708C0192" w14:textId="77777777" w:rsidR="00DA61B0" w:rsidRDefault="001D14DA">
            <w:pPr>
              <w:spacing w:after="0" w:line="259" w:lineRule="auto"/>
              <w:ind w:left="0" w:right="0" w:firstLine="0"/>
            </w:pPr>
            <w:r>
              <w:rPr>
                <w:b/>
                <w:color w:val="FFFFFF"/>
              </w:rPr>
              <w:t>Způsob pomoci</w:t>
            </w:r>
          </w:p>
        </w:tc>
        <w:tc>
          <w:tcPr>
            <w:tcW w:w="3260" w:type="dxa"/>
            <w:tcBorders>
              <w:top w:val="nil"/>
              <w:left w:val="nil"/>
              <w:bottom w:val="nil"/>
              <w:right w:val="nil"/>
            </w:tcBorders>
            <w:shd w:val="clear" w:color="auto" w:fill="0081C6"/>
          </w:tcPr>
          <w:p w14:paraId="46252BD9" w14:textId="77777777" w:rsidR="00DA61B0" w:rsidRDefault="001D14DA">
            <w:pPr>
              <w:spacing w:after="0" w:line="259" w:lineRule="auto"/>
              <w:ind w:left="0" w:right="0" w:firstLine="0"/>
            </w:pPr>
            <w:r>
              <w:rPr>
                <w:b/>
                <w:color w:val="FFFFFF"/>
              </w:rPr>
              <w:t>CZ / ZAHRANIČÍ</w:t>
            </w:r>
          </w:p>
        </w:tc>
      </w:tr>
    </w:tbl>
    <w:p w14:paraId="4DC31555" w14:textId="77777777" w:rsidR="00DA61B0" w:rsidRDefault="001D14DA">
      <w:pPr>
        <w:tabs>
          <w:tab w:val="center" w:pos="1177"/>
          <w:tab w:val="center" w:pos="4259"/>
        </w:tabs>
        <w:spacing w:after="123"/>
        <w:ind w:left="0" w:right="0" w:firstLine="0"/>
      </w:pPr>
      <w:r>
        <w:rPr>
          <w:rFonts w:ascii="Calibri" w:eastAsia="Calibri" w:hAnsi="Calibri" w:cs="Calibri"/>
          <w:sz w:val="22"/>
        </w:rPr>
        <w:tab/>
      </w:r>
      <w:r>
        <w:t>Pojistná událost</w:t>
      </w:r>
      <w:r>
        <w:tab/>
        <w:t>Oprava na místě nebo odtah*</w:t>
      </w:r>
    </w:p>
    <w:p w14:paraId="50162DFA" w14:textId="77777777" w:rsidR="00DA61B0" w:rsidRDefault="001D14DA">
      <w:pPr>
        <w:ind w:left="492" w:right="2307"/>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0ABDE7D7" wp14:editId="3273CC2B">
                <wp:simplePos x="0" y="0"/>
                <wp:positionH relativeFrom="column">
                  <wp:posOffset>252001</wp:posOffset>
                </wp:positionH>
                <wp:positionV relativeFrom="paragraph">
                  <wp:posOffset>-59932</wp:posOffset>
                </wp:positionV>
                <wp:extent cx="4248003" cy="200461"/>
                <wp:effectExtent l="0" t="0" r="0" b="0"/>
                <wp:wrapNone/>
                <wp:docPr id="9272" name="Group 9272"/>
                <wp:cNvGraphicFramePr/>
                <a:graphic xmlns:a="http://schemas.openxmlformats.org/drawingml/2006/main">
                  <a:graphicData uri="http://schemas.microsoft.com/office/word/2010/wordprocessingGroup">
                    <wpg:wgp>
                      <wpg:cNvGrpSpPr/>
                      <wpg:grpSpPr>
                        <a:xfrm>
                          <a:off x="0" y="0"/>
                          <a:ext cx="4248003" cy="200461"/>
                          <a:chOff x="0" y="0"/>
                          <a:chExt cx="4248003" cy="200461"/>
                        </a:xfrm>
                      </wpg:grpSpPr>
                      <wps:wsp>
                        <wps:cNvPr id="570" name="Shape 570"/>
                        <wps:cNvSpPr/>
                        <wps:spPr>
                          <a:xfrm>
                            <a:off x="0" y="0"/>
                            <a:ext cx="1583995" cy="0"/>
                          </a:xfrm>
                          <a:custGeom>
                            <a:avLst/>
                            <a:gdLst/>
                            <a:ahLst/>
                            <a:cxnLst/>
                            <a:rect l="0" t="0" r="0" b="0"/>
                            <a:pathLst>
                              <a:path w="1583995">
                                <a:moveTo>
                                  <a:pt x="0" y="0"/>
                                </a:moveTo>
                                <a:lnTo>
                                  <a:pt x="1583995" y="0"/>
                                </a:lnTo>
                              </a:path>
                            </a:pathLst>
                          </a:custGeom>
                          <a:ln w="3810" cap="flat">
                            <a:miter lim="127000"/>
                          </a:ln>
                        </wps:spPr>
                        <wps:style>
                          <a:lnRef idx="1">
                            <a:srgbClr val="005CA9"/>
                          </a:lnRef>
                          <a:fillRef idx="0">
                            <a:srgbClr val="000000">
                              <a:alpha val="0"/>
                            </a:srgbClr>
                          </a:fillRef>
                          <a:effectRef idx="0">
                            <a:scrgbClr r="0" g="0" b="0"/>
                          </a:effectRef>
                          <a:fontRef idx="none"/>
                        </wps:style>
                        <wps:bodyPr/>
                      </wps:wsp>
                      <wps:wsp>
                        <wps:cNvPr id="571" name="Shape 571"/>
                        <wps:cNvSpPr/>
                        <wps:spPr>
                          <a:xfrm>
                            <a:off x="1584000" y="0"/>
                            <a:ext cx="2664003" cy="0"/>
                          </a:xfrm>
                          <a:custGeom>
                            <a:avLst/>
                            <a:gdLst/>
                            <a:ahLst/>
                            <a:cxnLst/>
                            <a:rect l="0" t="0" r="0" b="0"/>
                            <a:pathLst>
                              <a:path w="2664003">
                                <a:moveTo>
                                  <a:pt x="0" y="0"/>
                                </a:moveTo>
                                <a:lnTo>
                                  <a:pt x="2664003" y="0"/>
                                </a:lnTo>
                              </a:path>
                            </a:pathLst>
                          </a:custGeom>
                          <a:ln w="3810" cap="flat">
                            <a:miter lim="127000"/>
                          </a:ln>
                        </wps:spPr>
                        <wps:style>
                          <a:lnRef idx="1">
                            <a:srgbClr val="005CA9"/>
                          </a:lnRef>
                          <a:fillRef idx="0">
                            <a:srgbClr val="000000">
                              <a:alpha val="0"/>
                            </a:srgbClr>
                          </a:fillRef>
                          <a:effectRef idx="0">
                            <a:scrgbClr r="0" g="0" b="0"/>
                          </a:effectRef>
                          <a:fontRef idx="none"/>
                        </wps:style>
                        <wps:bodyPr/>
                      </wps:wsp>
                      <wps:wsp>
                        <wps:cNvPr id="572" name="Shape 572"/>
                        <wps:cNvSpPr/>
                        <wps:spPr>
                          <a:xfrm>
                            <a:off x="1584000" y="200461"/>
                            <a:ext cx="2664003" cy="0"/>
                          </a:xfrm>
                          <a:custGeom>
                            <a:avLst/>
                            <a:gdLst/>
                            <a:ahLst/>
                            <a:cxnLst/>
                            <a:rect l="0" t="0" r="0" b="0"/>
                            <a:pathLst>
                              <a:path w="2664003">
                                <a:moveTo>
                                  <a:pt x="0" y="0"/>
                                </a:moveTo>
                                <a:lnTo>
                                  <a:pt x="2664003" y="0"/>
                                </a:lnTo>
                              </a:path>
                            </a:pathLst>
                          </a:custGeom>
                          <a:ln w="3810" cap="flat">
                            <a:miter lim="127000"/>
                          </a:ln>
                        </wps:spPr>
                        <wps:style>
                          <a:lnRef idx="1">
                            <a:srgbClr val="005CA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272" style="width:334.488pt;height:15.7843pt;position:absolute;z-index:-2147483641;mso-position-horizontal-relative:text;mso-position-horizontal:absolute;margin-left:19.8426pt;mso-position-vertical-relative:text;margin-top:-4.7191pt;" coordsize="42480,2004">
                <v:shape id="Shape 570" style="position:absolute;width:15839;height:0;left:0;top:0;" coordsize="1583995,0" path="m0,0l1583995,0">
                  <v:stroke weight="0.3pt" endcap="flat" joinstyle="miter" miterlimit="10" on="true" color="#005ca9"/>
                  <v:fill on="false" color="#000000" opacity="0"/>
                </v:shape>
                <v:shape id="Shape 571" style="position:absolute;width:26640;height:0;left:15840;top:0;" coordsize="2664003,0" path="m0,0l2664003,0">
                  <v:stroke weight="0.3pt" endcap="flat" joinstyle="miter" miterlimit="10" on="true" color="#005ca9"/>
                  <v:fill on="false" color="#000000" opacity="0"/>
                </v:shape>
                <v:shape id="Shape 572" style="position:absolute;width:26640;height:0;left:15840;top:2004;" coordsize="2664003,0" path="m0,0l2664003,0">
                  <v:stroke weight="0.3pt" endcap="flat" joinstyle="miter" miterlimit="10" on="true" color="#005ca9"/>
                  <v:fill on="false" color="#000000" opacity="0"/>
                </v:shape>
              </v:group>
            </w:pict>
          </mc:Fallback>
        </mc:AlternateContent>
      </w:r>
      <w:r>
        <w:t xml:space="preserve">Pojistná </w:t>
      </w:r>
      <w:proofErr w:type="gramStart"/>
      <w:r>
        <w:t xml:space="preserve">událost  </w:t>
      </w:r>
      <w:r>
        <w:tab/>
      </w:r>
      <w:proofErr w:type="gramEnd"/>
      <w:r>
        <w:t>Repatriace do ČR (oprava delší než 7 dnů)</w:t>
      </w:r>
      <w:r>
        <w:tab/>
        <w:t>Bez limitu s výjimkou chyby řidiče</w:t>
      </w:r>
      <w:r>
        <w:tab/>
        <w:t>Úhrada sešrotování</w:t>
      </w:r>
    </w:p>
    <w:tbl>
      <w:tblPr>
        <w:tblStyle w:val="TableGrid"/>
        <w:tblW w:w="10035" w:type="dxa"/>
        <w:tblInd w:w="397" w:type="dxa"/>
        <w:tblCellMar>
          <w:top w:w="85" w:type="dxa"/>
          <w:left w:w="0" w:type="dxa"/>
          <w:bottom w:w="0" w:type="dxa"/>
          <w:right w:w="115" w:type="dxa"/>
        </w:tblCellMar>
        <w:tblLook w:val="04A0" w:firstRow="1" w:lastRow="0" w:firstColumn="1" w:lastColumn="0" w:noHBand="0" w:noVBand="1"/>
      </w:tblPr>
      <w:tblGrid>
        <w:gridCol w:w="2580"/>
        <w:gridCol w:w="4195"/>
        <w:gridCol w:w="3260"/>
      </w:tblGrid>
      <w:tr w:rsidR="00DA61B0" w14:paraId="283855D2" w14:textId="77777777">
        <w:trPr>
          <w:trHeight w:val="316"/>
        </w:trPr>
        <w:tc>
          <w:tcPr>
            <w:tcW w:w="2580" w:type="dxa"/>
            <w:tcBorders>
              <w:top w:val="single" w:sz="2" w:space="0" w:color="005CA9"/>
              <w:left w:val="nil"/>
              <w:bottom w:val="single" w:sz="2" w:space="0" w:color="005CA9"/>
              <w:right w:val="nil"/>
            </w:tcBorders>
          </w:tcPr>
          <w:p w14:paraId="7DEEB053" w14:textId="77777777" w:rsidR="00DA61B0" w:rsidRDefault="001D14DA">
            <w:pPr>
              <w:spacing w:after="0" w:line="259" w:lineRule="auto"/>
              <w:ind w:left="85" w:right="0" w:firstLine="0"/>
            </w:pPr>
            <w:r>
              <w:t>Chyba řidiče</w:t>
            </w:r>
          </w:p>
        </w:tc>
        <w:tc>
          <w:tcPr>
            <w:tcW w:w="4195" w:type="dxa"/>
            <w:tcBorders>
              <w:top w:val="single" w:sz="2" w:space="0" w:color="005CA9"/>
              <w:left w:val="nil"/>
              <w:bottom w:val="single" w:sz="2" w:space="0" w:color="005CA9"/>
              <w:right w:val="nil"/>
            </w:tcBorders>
          </w:tcPr>
          <w:p w14:paraId="48EF5E8E" w14:textId="77777777" w:rsidR="00DA61B0" w:rsidRDefault="001D14DA">
            <w:pPr>
              <w:spacing w:after="0" w:line="259" w:lineRule="auto"/>
              <w:ind w:left="0" w:right="0" w:firstLine="0"/>
            </w:pPr>
            <w:r>
              <w:t>Oprava na místě nebo odtah</w:t>
            </w:r>
          </w:p>
        </w:tc>
        <w:tc>
          <w:tcPr>
            <w:tcW w:w="3260" w:type="dxa"/>
            <w:tcBorders>
              <w:top w:val="single" w:sz="2" w:space="0" w:color="005CA9"/>
              <w:left w:val="nil"/>
              <w:bottom w:val="single" w:sz="2" w:space="0" w:color="005CA9"/>
              <w:right w:val="nil"/>
            </w:tcBorders>
          </w:tcPr>
          <w:p w14:paraId="220B57E9" w14:textId="77777777" w:rsidR="00DA61B0" w:rsidRDefault="001D14DA">
            <w:pPr>
              <w:spacing w:after="0" w:line="259" w:lineRule="auto"/>
              <w:ind w:left="0" w:right="0" w:firstLine="0"/>
            </w:pPr>
            <w:r>
              <w:t>3000 Kč / 175 €</w:t>
            </w:r>
          </w:p>
        </w:tc>
      </w:tr>
      <w:tr w:rsidR="00DA61B0" w14:paraId="1B38A056" w14:textId="77777777">
        <w:trPr>
          <w:trHeight w:val="556"/>
        </w:trPr>
        <w:tc>
          <w:tcPr>
            <w:tcW w:w="2580" w:type="dxa"/>
            <w:tcBorders>
              <w:top w:val="single" w:sz="2" w:space="0" w:color="005CA9"/>
              <w:left w:val="nil"/>
              <w:bottom w:val="single" w:sz="2" w:space="0" w:color="005CA9"/>
              <w:right w:val="nil"/>
            </w:tcBorders>
            <w:vAlign w:val="center"/>
          </w:tcPr>
          <w:p w14:paraId="14411A68" w14:textId="77777777" w:rsidR="00DA61B0" w:rsidRDefault="001D14DA">
            <w:pPr>
              <w:spacing w:after="0" w:line="259" w:lineRule="auto"/>
              <w:ind w:left="85" w:right="0" w:firstLine="0"/>
            </w:pPr>
            <w:r>
              <w:t>Pojistná událost</w:t>
            </w:r>
          </w:p>
        </w:tc>
        <w:tc>
          <w:tcPr>
            <w:tcW w:w="4195" w:type="dxa"/>
            <w:tcBorders>
              <w:top w:val="single" w:sz="2" w:space="0" w:color="005CA9"/>
              <w:left w:val="nil"/>
              <w:bottom w:val="single" w:sz="2" w:space="0" w:color="005CA9"/>
              <w:right w:val="nil"/>
            </w:tcBorders>
          </w:tcPr>
          <w:p w14:paraId="209EB557" w14:textId="77777777" w:rsidR="00DA61B0" w:rsidRDefault="001D14DA">
            <w:pPr>
              <w:spacing w:after="0" w:line="259" w:lineRule="auto"/>
              <w:ind w:left="0" w:right="699" w:firstLine="0"/>
            </w:pPr>
            <w:r>
              <w:t>Půjčka při zadržení, vazba, uvěznění v zahraničí</w:t>
            </w:r>
          </w:p>
        </w:tc>
        <w:tc>
          <w:tcPr>
            <w:tcW w:w="3260" w:type="dxa"/>
            <w:tcBorders>
              <w:top w:val="single" w:sz="2" w:space="0" w:color="005CA9"/>
              <w:left w:val="nil"/>
              <w:bottom w:val="single" w:sz="2" w:space="0" w:color="005CA9"/>
              <w:right w:val="nil"/>
            </w:tcBorders>
          </w:tcPr>
          <w:p w14:paraId="039F8EDF" w14:textId="77777777" w:rsidR="00DA61B0" w:rsidRDefault="00DA61B0">
            <w:pPr>
              <w:spacing w:after="160" w:line="259" w:lineRule="auto"/>
              <w:ind w:left="0" w:right="0" w:firstLine="0"/>
            </w:pPr>
          </w:p>
        </w:tc>
      </w:tr>
      <w:tr w:rsidR="00DA61B0" w14:paraId="395BA57D" w14:textId="77777777">
        <w:trPr>
          <w:trHeight w:val="316"/>
        </w:trPr>
        <w:tc>
          <w:tcPr>
            <w:tcW w:w="2580" w:type="dxa"/>
            <w:vMerge w:val="restart"/>
            <w:tcBorders>
              <w:top w:val="single" w:sz="2" w:space="0" w:color="005CA9"/>
              <w:left w:val="nil"/>
              <w:bottom w:val="single" w:sz="5" w:space="0" w:color="005CA9"/>
              <w:right w:val="nil"/>
            </w:tcBorders>
            <w:vAlign w:val="center"/>
          </w:tcPr>
          <w:p w14:paraId="666BB3DE" w14:textId="77777777" w:rsidR="00DA61B0" w:rsidRDefault="001D14DA">
            <w:pPr>
              <w:spacing w:after="0" w:line="259" w:lineRule="auto"/>
              <w:ind w:left="85" w:right="357" w:firstLine="0"/>
            </w:pPr>
            <w:r>
              <w:t xml:space="preserve">Pojistná </w:t>
            </w:r>
            <w:proofErr w:type="gramStart"/>
            <w:r>
              <w:t>událost  s</w:t>
            </w:r>
            <w:proofErr w:type="gramEnd"/>
            <w:r>
              <w:t xml:space="preserve"> výjimkou chyby řidiče</w:t>
            </w:r>
          </w:p>
        </w:tc>
        <w:tc>
          <w:tcPr>
            <w:tcW w:w="4195" w:type="dxa"/>
            <w:tcBorders>
              <w:top w:val="single" w:sz="2" w:space="0" w:color="005CA9"/>
              <w:left w:val="nil"/>
              <w:bottom w:val="single" w:sz="2" w:space="0" w:color="005CA9"/>
              <w:right w:val="nil"/>
            </w:tcBorders>
          </w:tcPr>
          <w:p w14:paraId="4CE0476E" w14:textId="77777777" w:rsidR="00DA61B0" w:rsidRDefault="001D14DA">
            <w:pPr>
              <w:spacing w:after="0" w:line="259" w:lineRule="auto"/>
              <w:ind w:left="0" w:right="0" w:firstLine="0"/>
            </w:pPr>
            <w:r>
              <w:t>Náhradní vozidlo</w:t>
            </w:r>
          </w:p>
        </w:tc>
        <w:tc>
          <w:tcPr>
            <w:tcW w:w="3260" w:type="dxa"/>
            <w:tcBorders>
              <w:top w:val="single" w:sz="2" w:space="0" w:color="005CA9"/>
              <w:left w:val="nil"/>
              <w:bottom w:val="single" w:sz="2" w:space="0" w:color="005CA9"/>
              <w:right w:val="nil"/>
            </w:tcBorders>
          </w:tcPr>
          <w:p w14:paraId="5321237F" w14:textId="77777777" w:rsidR="00DA61B0" w:rsidRDefault="001D14DA">
            <w:pPr>
              <w:spacing w:after="0" w:line="259" w:lineRule="auto"/>
              <w:ind w:left="0" w:right="0" w:firstLine="0"/>
            </w:pPr>
            <w:r>
              <w:t>10 dnů nebo Kč 10.000 / 350 €</w:t>
            </w:r>
          </w:p>
        </w:tc>
      </w:tr>
      <w:tr w:rsidR="00DA61B0" w14:paraId="2DD5477F" w14:textId="77777777">
        <w:trPr>
          <w:trHeight w:val="316"/>
        </w:trPr>
        <w:tc>
          <w:tcPr>
            <w:tcW w:w="0" w:type="auto"/>
            <w:vMerge/>
            <w:tcBorders>
              <w:top w:val="nil"/>
              <w:left w:val="nil"/>
              <w:bottom w:val="nil"/>
              <w:right w:val="nil"/>
            </w:tcBorders>
          </w:tcPr>
          <w:p w14:paraId="0BE88AE6" w14:textId="77777777" w:rsidR="00DA61B0" w:rsidRDefault="00DA61B0">
            <w:pPr>
              <w:spacing w:after="160" w:line="259" w:lineRule="auto"/>
              <w:ind w:left="0" w:right="0" w:firstLine="0"/>
            </w:pPr>
          </w:p>
        </w:tc>
        <w:tc>
          <w:tcPr>
            <w:tcW w:w="4195" w:type="dxa"/>
            <w:tcBorders>
              <w:top w:val="single" w:sz="2" w:space="0" w:color="005CA9"/>
              <w:left w:val="nil"/>
              <w:bottom w:val="single" w:sz="2" w:space="0" w:color="005CA9"/>
              <w:right w:val="nil"/>
            </w:tcBorders>
          </w:tcPr>
          <w:p w14:paraId="73254EE7" w14:textId="77777777" w:rsidR="00DA61B0" w:rsidRDefault="001D14DA">
            <w:pPr>
              <w:spacing w:after="0" w:line="259" w:lineRule="auto"/>
              <w:ind w:left="0" w:right="0" w:firstLine="0"/>
            </w:pPr>
            <w:r>
              <w:t>Ubytování v hotelu</w:t>
            </w:r>
          </w:p>
        </w:tc>
        <w:tc>
          <w:tcPr>
            <w:tcW w:w="3260" w:type="dxa"/>
            <w:tcBorders>
              <w:top w:val="single" w:sz="2" w:space="0" w:color="005CA9"/>
              <w:left w:val="nil"/>
              <w:bottom w:val="single" w:sz="2" w:space="0" w:color="005CA9"/>
              <w:right w:val="nil"/>
            </w:tcBorders>
          </w:tcPr>
          <w:p w14:paraId="7950DA57" w14:textId="77777777" w:rsidR="00DA61B0" w:rsidRDefault="001D14DA">
            <w:pPr>
              <w:spacing w:after="0" w:line="259" w:lineRule="auto"/>
              <w:ind w:left="0" w:right="0" w:firstLine="0"/>
            </w:pPr>
            <w:r>
              <w:t>5 nocí / 2500 Kč / 250 € / os.</w:t>
            </w:r>
          </w:p>
        </w:tc>
      </w:tr>
      <w:tr w:rsidR="00DA61B0" w14:paraId="2D29F976" w14:textId="77777777">
        <w:trPr>
          <w:trHeight w:val="316"/>
        </w:trPr>
        <w:tc>
          <w:tcPr>
            <w:tcW w:w="0" w:type="auto"/>
            <w:vMerge/>
            <w:tcBorders>
              <w:top w:val="nil"/>
              <w:left w:val="nil"/>
              <w:bottom w:val="single" w:sz="5" w:space="0" w:color="005CA9"/>
              <w:right w:val="nil"/>
            </w:tcBorders>
          </w:tcPr>
          <w:p w14:paraId="6A24B1C5" w14:textId="77777777" w:rsidR="00DA61B0" w:rsidRDefault="00DA61B0">
            <w:pPr>
              <w:spacing w:after="160" w:line="259" w:lineRule="auto"/>
              <w:ind w:left="0" w:right="0" w:firstLine="0"/>
            </w:pPr>
          </w:p>
        </w:tc>
        <w:tc>
          <w:tcPr>
            <w:tcW w:w="4195" w:type="dxa"/>
            <w:tcBorders>
              <w:top w:val="single" w:sz="2" w:space="0" w:color="005CA9"/>
              <w:left w:val="nil"/>
              <w:bottom w:val="single" w:sz="5" w:space="0" w:color="005CA9"/>
              <w:right w:val="nil"/>
            </w:tcBorders>
          </w:tcPr>
          <w:p w14:paraId="1CC4BC38" w14:textId="77777777" w:rsidR="00DA61B0" w:rsidRDefault="001D14DA">
            <w:pPr>
              <w:spacing w:after="0" w:line="259" w:lineRule="auto"/>
              <w:ind w:left="0" w:right="0" w:firstLine="0"/>
            </w:pPr>
            <w:r>
              <w:t>TAXI</w:t>
            </w:r>
          </w:p>
        </w:tc>
        <w:tc>
          <w:tcPr>
            <w:tcW w:w="3260" w:type="dxa"/>
            <w:tcBorders>
              <w:top w:val="single" w:sz="2" w:space="0" w:color="005CA9"/>
              <w:left w:val="nil"/>
              <w:bottom w:val="single" w:sz="5" w:space="0" w:color="005CA9"/>
              <w:right w:val="nil"/>
            </w:tcBorders>
          </w:tcPr>
          <w:p w14:paraId="4275682A" w14:textId="77777777" w:rsidR="00DA61B0" w:rsidRDefault="001D14DA">
            <w:pPr>
              <w:spacing w:after="0" w:line="259" w:lineRule="auto"/>
              <w:ind w:left="0" w:right="0" w:firstLine="0"/>
            </w:pPr>
            <w:r>
              <w:t>1000 Kč / 100€</w:t>
            </w:r>
          </w:p>
        </w:tc>
      </w:tr>
    </w:tbl>
    <w:p w14:paraId="3E53F46A" w14:textId="77777777" w:rsidR="00DA61B0" w:rsidRDefault="001D14DA">
      <w:pPr>
        <w:spacing w:after="302"/>
        <w:ind w:left="407" w:right="0"/>
      </w:pPr>
      <w:r>
        <w:t>*Odtah při PU v zahraničí do místa určeného klientem max. 250 km</w:t>
      </w:r>
    </w:p>
    <w:p w14:paraId="35D46A77" w14:textId="77777777" w:rsidR="00DA61B0" w:rsidRDefault="001D14DA">
      <w:pPr>
        <w:pStyle w:val="Nadpis1"/>
        <w:ind w:left="-5"/>
      </w:pPr>
      <w:r>
        <w:t>Článek 9</w:t>
      </w:r>
    </w:p>
    <w:p w14:paraId="3105168C" w14:textId="77777777" w:rsidR="00DA61B0" w:rsidRDefault="001D14DA">
      <w:pPr>
        <w:pStyle w:val="Nadpis2"/>
        <w:ind w:left="-5"/>
      </w:pPr>
      <w:r>
        <w:t>Výluky z pojištění asistence</w:t>
      </w:r>
    </w:p>
    <w:p w14:paraId="2B3EBEFE" w14:textId="77777777" w:rsidR="00DA61B0" w:rsidRDefault="001D14DA">
      <w:pPr>
        <w:numPr>
          <w:ilvl w:val="0"/>
          <w:numId w:val="12"/>
        </w:numPr>
        <w:spacing w:after="2"/>
        <w:ind w:right="14" w:hanging="397"/>
      </w:pPr>
      <w:r>
        <w:rPr>
          <w:b/>
        </w:rPr>
        <w:t>Pojistitel neposkytne pojistné plnění v případě:</w:t>
      </w:r>
    </w:p>
    <w:p w14:paraId="2131F0B7" w14:textId="77777777" w:rsidR="00DA61B0" w:rsidRDefault="001D14DA">
      <w:pPr>
        <w:numPr>
          <w:ilvl w:val="1"/>
          <w:numId w:val="12"/>
        </w:numPr>
        <w:spacing w:after="2"/>
        <w:ind w:left="666" w:right="14" w:hanging="284"/>
      </w:pPr>
      <w:r>
        <w:rPr>
          <w:b/>
        </w:rPr>
        <w:t>nekontaktování asistenční služby UNIQA po pojistné události a nerespektování pokynů asistenční služby</w:t>
      </w:r>
    </w:p>
    <w:p w14:paraId="13EC592D" w14:textId="77777777" w:rsidR="00DA61B0" w:rsidRDefault="001D14DA">
      <w:pPr>
        <w:numPr>
          <w:ilvl w:val="1"/>
          <w:numId w:val="12"/>
        </w:numPr>
        <w:spacing w:after="2"/>
        <w:ind w:left="666" w:right="14" w:hanging="284"/>
      </w:pPr>
      <w:r>
        <w:rPr>
          <w:b/>
        </w:rPr>
        <w:t>že oprávněná osoba v době pojistné události nevlastní platný řidičský průkaz nebo řidičské oprávnění neodpovídá typu řízeného vozidla</w:t>
      </w:r>
    </w:p>
    <w:p w14:paraId="6D25CBC4" w14:textId="77777777" w:rsidR="00DA61B0" w:rsidRDefault="001D14DA">
      <w:pPr>
        <w:numPr>
          <w:ilvl w:val="1"/>
          <w:numId w:val="12"/>
        </w:numPr>
        <w:spacing w:after="2"/>
        <w:ind w:left="666" w:right="14" w:hanging="284"/>
      </w:pPr>
      <w:r>
        <w:rPr>
          <w:b/>
        </w:rPr>
        <w:t>že k pojistné události dojde v důsledku přetěžování vozidla (celková hmotnost vozidla je vyšší, než je uvedeno v technickém průkaze)</w:t>
      </w:r>
    </w:p>
    <w:p w14:paraId="5E0715CA" w14:textId="77777777" w:rsidR="00DA61B0" w:rsidRDefault="001D14DA">
      <w:pPr>
        <w:numPr>
          <w:ilvl w:val="1"/>
          <w:numId w:val="12"/>
        </w:numPr>
        <w:spacing w:after="2"/>
        <w:ind w:left="666" w:right="14" w:hanging="284"/>
      </w:pPr>
      <w:r>
        <w:rPr>
          <w:b/>
        </w:rPr>
        <w:t>že došlo k pojistné události při válečném stavu (ať již byla válka vyhlášena či nikoliv), stávce či občanských nepokojů, omezení volného pohybu, ekologické katastrofě nebo v případě jiné nahodilé události nebo zásahu vyšší moci</w:t>
      </w:r>
    </w:p>
    <w:p w14:paraId="50DBBC53" w14:textId="77777777" w:rsidR="00DA61B0" w:rsidRDefault="001D14DA">
      <w:pPr>
        <w:numPr>
          <w:ilvl w:val="1"/>
          <w:numId w:val="12"/>
        </w:numPr>
        <w:spacing w:after="2"/>
        <w:ind w:left="666" w:right="14" w:hanging="284"/>
      </w:pPr>
      <w:r>
        <w:rPr>
          <w:b/>
        </w:rPr>
        <w:t>že k pojistné události došlo v důsledku úmyslného jednání, trestného činu či sebevraždy či sázky</w:t>
      </w:r>
    </w:p>
    <w:p w14:paraId="18D4A31B" w14:textId="77777777" w:rsidR="00DA61B0" w:rsidRDefault="001D14DA">
      <w:pPr>
        <w:numPr>
          <w:ilvl w:val="1"/>
          <w:numId w:val="12"/>
        </w:numPr>
        <w:spacing w:after="2"/>
        <w:ind w:left="666" w:right="14" w:hanging="284"/>
      </w:pPr>
      <w:r>
        <w:rPr>
          <w:b/>
        </w:rPr>
        <w:t>že pojistná událost je způsobena neodborným zásahem či nedostatečnou údržbou (není-li prováděna výrobcem předepsaná pravidelná a technická údržba)</w:t>
      </w:r>
    </w:p>
    <w:p w14:paraId="30820C51" w14:textId="77777777" w:rsidR="00DA61B0" w:rsidRDefault="001D14DA">
      <w:pPr>
        <w:numPr>
          <w:ilvl w:val="1"/>
          <w:numId w:val="12"/>
        </w:numPr>
        <w:spacing w:after="2"/>
        <w:ind w:left="666" w:right="14" w:hanging="284"/>
      </w:pPr>
      <w:r>
        <w:rPr>
          <w:b/>
        </w:rPr>
        <w:t>že k pojistné události došlo při soutěži, sportovním zápolení a přípravě na ně nebo přehlídkách</w:t>
      </w:r>
    </w:p>
    <w:p w14:paraId="081F3A2C" w14:textId="77777777" w:rsidR="00DA61B0" w:rsidRDefault="001D14DA">
      <w:pPr>
        <w:numPr>
          <w:ilvl w:val="1"/>
          <w:numId w:val="12"/>
        </w:numPr>
        <w:spacing w:after="2"/>
        <w:ind w:left="666" w:right="14" w:hanging="284"/>
      </w:pPr>
      <w:r>
        <w:rPr>
          <w:b/>
        </w:rPr>
        <w:t>že pojistná událost byla způsobena pod vlivem požití alkoholu nebo použití návykové látky nebo přípravku takovou látku obsahujícím</w:t>
      </w:r>
    </w:p>
    <w:p w14:paraId="31076D0C" w14:textId="77777777" w:rsidR="00DA61B0" w:rsidRDefault="001D14DA">
      <w:pPr>
        <w:numPr>
          <w:ilvl w:val="1"/>
          <w:numId w:val="12"/>
        </w:numPr>
        <w:spacing w:after="2"/>
        <w:ind w:left="666" w:right="14" w:hanging="284"/>
      </w:pPr>
      <w:r>
        <w:rPr>
          <w:b/>
        </w:rPr>
        <w:t>pasažérů pojištěného vozidla, kteří jsou v pojištěném vozidle přepravováni za úplatu (např. pasažéři autobusu, taxislužby či smluvní dopravy); pojištění se také nevztahuje na stopaře či jiné obdobné pasažéry pojištěného vozidla bez ohledu na to, zda jsou v pojištěném vozidle přepravováni za úplatu či bezúplatně</w:t>
      </w:r>
    </w:p>
    <w:p w14:paraId="04EF2EA5" w14:textId="77777777" w:rsidR="00DA61B0" w:rsidRDefault="001D14DA">
      <w:pPr>
        <w:numPr>
          <w:ilvl w:val="1"/>
          <w:numId w:val="12"/>
        </w:numPr>
        <w:spacing w:after="2"/>
        <w:ind w:left="666" w:right="14" w:hanging="284"/>
      </w:pPr>
      <w:r>
        <w:rPr>
          <w:b/>
        </w:rPr>
        <w:t>pokud přístup k pojištěnému vozidlu nebude možný či právně přístupný.</w:t>
      </w:r>
    </w:p>
    <w:p w14:paraId="66DD15C7" w14:textId="77777777" w:rsidR="00DA61B0" w:rsidRDefault="001D14DA">
      <w:pPr>
        <w:numPr>
          <w:ilvl w:val="0"/>
          <w:numId w:val="12"/>
        </w:numPr>
        <w:spacing w:after="2"/>
        <w:ind w:right="14" w:hanging="397"/>
      </w:pPr>
      <w:r>
        <w:rPr>
          <w:b/>
        </w:rPr>
        <w:lastRenderedPageBreak/>
        <w:t>Pojištění se dále nevztahuje na:</w:t>
      </w:r>
    </w:p>
    <w:p w14:paraId="4A996914" w14:textId="77777777" w:rsidR="00DA61B0" w:rsidRDefault="001D14DA">
      <w:pPr>
        <w:numPr>
          <w:ilvl w:val="1"/>
          <w:numId w:val="12"/>
        </w:numPr>
        <w:spacing w:after="2"/>
        <w:ind w:left="666" w:right="14" w:hanging="284"/>
      </w:pPr>
      <w:r>
        <w:rPr>
          <w:b/>
        </w:rPr>
        <w:t>náklady, které se nevztahují k pojistné události</w:t>
      </w:r>
    </w:p>
    <w:p w14:paraId="7A6112C8" w14:textId="77777777" w:rsidR="00DA61B0" w:rsidRDefault="001D14DA">
      <w:pPr>
        <w:numPr>
          <w:ilvl w:val="1"/>
          <w:numId w:val="12"/>
        </w:numPr>
        <w:spacing w:after="2"/>
        <w:ind w:left="666" w:right="14" w:hanging="284"/>
      </w:pPr>
      <w:r>
        <w:rPr>
          <w:b/>
        </w:rPr>
        <w:t>dálniční a tranzitní poplatky a daně, náklady na pohonné hmoty a parkovné</w:t>
      </w:r>
    </w:p>
    <w:p w14:paraId="791A7FC9" w14:textId="77777777" w:rsidR="00DA61B0" w:rsidRDefault="001D14DA">
      <w:pPr>
        <w:numPr>
          <w:ilvl w:val="1"/>
          <w:numId w:val="12"/>
        </w:numPr>
        <w:spacing w:after="2"/>
        <w:ind w:left="666" w:right="14" w:hanging="284"/>
      </w:pPr>
      <w:r>
        <w:rPr>
          <w:b/>
        </w:rPr>
        <w:t>palivo, maziva, dálniční poplatky, mýtné ani případné opravy náhradního vozidla</w:t>
      </w:r>
    </w:p>
    <w:p w14:paraId="08A5290D" w14:textId="77777777" w:rsidR="00DA61B0" w:rsidRDefault="001D14DA">
      <w:pPr>
        <w:numPr>
          <w:ilvl w:val="1"/>
          <w:numId w:val="12"/>
        </w:numPr>
        <w:spacing w:after="302"/>
        <w:ind w:left="666" w:right="14" w:hanging="284"/>
      </w:pPr>
      <w:r>
        <w:rPr>
          <w:b/>
        </w:rPr>
        <w:t>náklady spojené se škodami následnými, které nejsou v příčinné souvislosti s pojistnou událostí.</w:t>
      </w:r>
    </w:p>
    <w:p w14:paraId="432481E8" w14:textId="77777777" w:rsidR="00DA61B0" w:rsidRDefault="001D14DA">
      <w:pPr>
        <w:pStyle w:val="Nadpis1"/>
        <w:ind w:left="-5"/>
      </w:pPr>
      <w:r>
        <w:t xml:space="preserve">Článek 10 </w:t>
      </w:r>
    </w:p>
    <w:p w14:paraId="6A98853C" w14:textId="77777777" w:rsidR="00DA61B0" w:rsidRDefault="001D14DA">
      <w:pPr>
        <w:pStyle w:val="Nadpis2"/>
        <w:ind w:left="-5"/>
      </w:pPr>
      <w:r>
        <w:t>Ostatní ujednání</w:t>
      </w:r>
    </w:p>
    <w:p w14:paraId="783C3479" w14:textId="77777777" w:rsidR="00DA61B0" w:rsidRDefault="001D14DA">
      <w:pPr>
        <w:numPr>
          <w:ilvl w:val="0"/>
          <w:numId w:val="13"/>
        </w:numPr>
        <w:ind w:right="0" w:hanging="397"/>
      </w:pPr>
      <w:r>
        <w:t>V případě poskytování pojistného plnění v zahraniční měně se pro přepočet na českou měnu použije směnný kurz vyhlášený ČNB v den poskytnutí asistenční služby.</w:t>
      </w:r>
    </w:p>
    <w:p w14:paraId="38B5F274" w14:textId="77777777" w:rsidR="00DA61B0" w:rsidRDefault="001D14DA">
      <w:pPr>
        <w:numPr>
          <w:ilvl w:val="0"/>
          <w:numId w:val="13"/>
        </w:numPr>
        <w:ind w:right="0" w:hanging="397"/>
      </w:pPr>
      <w:r>
        <w:t>V případě pojistné události přípojného vozidla je nárok na asistenční službu jen v případě, že je přípojné vozidlo vybaveno registrační značkou.</w:t>
      </w:r>
    </w:p>
    <w:p w14:paraId="37232694" w14:textId="77777777" w:rsidR="00DA61B0" w:rsidRDefault="001D14DA">
      <w:pPr>
        <w:numPr>
          <w:ilvl w:val="0"/>
          <w:numId w:val="13"/>
        </w:numPr>
        <w:spacing w:after="302"/>
        <w:ind w:right="0" w:hanging="397"/>
      </w:pPr>
      <w:r>
        <w:t>V podmínkách uvedené částky se nenačítají. Uvedený limit je horní hranice pro konkrétní poskytovanou službu, částky nad tento limit jdou k tíži oprávněné osoby.</w:t>
      </w:r>
    </w:p>
    <w:p w14:paraId="5A8BDED2" w14:textId="77777777" w:rsidR="00DA61B0" w:rsidRDefault="001D14DA">
      <w:pPr>
        <w:pStyle w:val="Nadpis1"/>
        <w:ind w:left="-5"/>
      </w:pPr>
      <w:r>
        <w:t>Článek 11</w:t>
      </w:r>
    </w:p>
    <w:p w14:paraId="42EFFD13" w14:textId="77777777" w:rsidR="00DA61B0" w:rsidRDefault="001D14DA">
      <w:pPr>
        <w:pStyle w:val="Nadpis2"/>
        <w:ind w:left="-5"/>
      </w:pPr>
      <w:r>
        <w:t>Závěrečná ustanovení</w:t>
      </w:r>
    </w:p>
    <w:p w14:paraId="0BCC9321" w14:textId="77777777" w:rsidR="00DA61B0" w:rsidRDefault="001D14DA">
      <w:pPr>
        <w:ind w:left="-5" w:right="0"/>
      </w:pPr>
      <w:r>
        <w:t xml:space="preserve">Tyto Všeobecné pojistné podmínky pro pojištění Asistence vozidel UCZ/As-A/24 nabývají účinnosti dnem </w:t>
      </w:r>
      <w:r>
        <w:rPr>
          <w:b/>
        </w:rPr>
        <w:t>1. 4. 2024</w:t>
      </w:r>
      <w:r>
        <w:t>.</w:t>
      </w:r>
    </w:p>
    <w:sectPr w:rsidR="00DA61B0">
      <w:footerReference w:type="even" r:id="rId7"/>
      <w:footerReference w:type="default" r:id="rId8"/>
      <w:footerReference w:type="first" r:id="rId9"/>
      <w:pgSz w:w="11906" w:h="16838"/>
      <w:pgMar w:top="737" w:right="737" w:bottom="695" w:left="737" w:header="708" w:footer="33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A0B754" w14:textId="77777777" w:rsidR="001D14DA" w:rsidRDefault="001D14DA">
      <w:pPr>
        <w:spacing w:after="0" w:line="240" w:lineRule="auto"/>
      </w:pPr>
      <w:r>
        <w:separator/>
      </w:r>
    </w:p>
  </w:endnote>
  <w:endnote w:type="continuationSeparator" w:id="0">
    <w:p w14:paraId="504EC13C" w14:textId="77777777" w:rsidR="001D14DA" w:rsidRDefault="001D1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D6587" w14:textId="77777777" w:rsidR="00DA61B0" w:rsidRDefault="001D14DA">
    <w:pPr>
      <w:spacing w:after="0" w:line="259" w:lineRule="auto"/>
      <w:ind w:left="0" w:right="0" w:firstLine="0"/>
      <w:jc w:val="center"/>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5</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B58AF" w14:textId="77777777" w:rsidR="00DA61B0" w:rsidRDefault="001D14DA">
    <w:pPr>
      <w:spacing w:after="0" w:line="259" w:lineRule="auto"/>
      <w:ind w:left="0" w:right="0" w:firstLine="0"/>
      <w:jc w:val="center"/>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5</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4C7DF" w14:textId="77777777" w:rsidR="00DA61B0" w:rsidRDefault="001D14DA">
    <w:pPr>
      <w:spacing w:after="0" w:line="259" w:lineRule="auto"/>
      <w:ind w:left="0" w:right="0" w:firstLine="0"/>
      <w:jc w:val="center"/>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5</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238A10" w14:textId="77777777" w:rsidR="001D14DA" w:rsidRDefault="001D14DA">
      <w:pPr>
        <w:spacing w:after="0" w:line="240" w:lineRule="auto"/>
      </w:pPr>
      <w:r>
        <w:separator/>
      </w:r>
    </w:p>
  </w:footnote>
  <w:footnote w:type="continuationSeparator" w:id="0">
    <w:p w14:paraId="6807810D" w14:textId="77777777" w:rsidR="001D14DA" w:rsidRDefault="001D14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C183C"/>
    <w:multiLevelType w:val="hybridMultilevel"/>
    <w:tmpl w:val="F7E6F364"/>
    <w:lvl w:ilvl="0" w:tplc="0816A7CE">
      <w:start w:val="1"/>
      <w:numFmt w:val="decimal"/>
      <w:lvlText w:val="%1."/>
      <w:lvlJc w:val="left"/>
      <w:pPr>
        <w:ind w:left="3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086274A">
      <w:start w:val="2"/>
      <w:numFmt w:val="lowerLetter"/>
      <w:lvlText w:val="%2)"/>
      <w:lvlJc w:val="left"/>
      <w:pPr>
        <w:ind w:left="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020C4E4">
      <w:start w:val="1"/>
      <w:numFmt w:val="lowerRoman"/>
      <w:lvlText w:val="%3"/>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722A24A">
      <w:start w:val="1"/>
      <w:numFmt w:val="decimal"/>
      <w:lvlText w:val="%4"/>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6BC3DD8">
      <w:start w:val="1"/>
      <w:numFmt w:val="lowerLetter"/>
      <w:lvlText w:val="%5"/>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D6A93EC">
      <w:start w:val="1"/>
      <w:numFmt w:val="lowerRoman"/>
      <w:lvlText w:val="%6"/>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0546C84">
      <w:start w:val="1"/>
      <w:numFmt w:val="decimal"/>
      <w:lvlText w:val="%7"/>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D6BF82">
      <w:start w:val="1"/>
      <w:numFmt w:val="lowerLetter"/>
      <w:lvlText w:val="%8"/>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C6A551E">
      <w:start w:val="1"/>
      <w:numFmt w:val="lowerRoman"/>
      <w:lvlText w:val="%9"/>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9744E35"/>
    <w:multiLevelType w:val="hybridMultilevel"/>
    <w:tmpl w:val="1A2A2EF0"/>
    <w:lvl w:ilvl="0" w:tplc="1E948A36">
      <w:start w:val="1"/>
      <w:numFmt w:val="decimal"/>
      <w:lvlText w:val="%1."/>
      <w:lvlJc w:val="left"/>
      <w:pPr>
        <w:ind w:left="3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CB0FCC0">
      <w:start w:val="2"/>
      <w:numFmt w:val="lowerLetter"/>
      <w:lvlText w:val="%2)"/>
      <w:lvlJc w:val="left"/>
      <w:pPr>
        <w:ind w:left="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E6EE740">
      <w:start w:val="1"/>
      <w:numFmt w:val="lowerRoman"/>
      <w:lvlText w:val="%3"/>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86AC68">
      <w:start w:val="1"/>
      <w:numFmt w:val="decimal"/>
      <w:lvlText w:val="%4"/>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5EE8498">
      <w:start w:val="1"/>
      <w:numFmt w:val="lowerLetter"/>
      <w:lvlText w:val="%5"/>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F32F5D4">
      <w:start w:val="1"/>
      <w:numFmt w:val="lowerRoman"/>
      <w:lvlText w:val="%6"/>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9DED64A">
      <w:start w:val="1"/>
      <w:numFmt w:val="decimal"/>
      <w:lvlText w:val="%7"/>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907688">
      <w:start w:val="1"/>
      <w:numFmt w:val="lowerLetter"/>
      <w:lvlText w:val="%8"/>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6EEEAB6">
      <w:start w:val="1"/>
      <w:numFmt w:val="lowerRoman"/>
      <w:lvlText w:val="%9"/>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8065B1A"/>
    <w:multiLevelType w:val="hybridMultilevel"/>
    <w:tmpl w:val="809C41D8"/>
    <w:lvl w:ilvl="0" w:tplc="8E329FF4">
      <w:start w:val="1"/>
      <w:numFmt w:val="decimal"/>
      <w:lvlText w:val="%1."/>
      <w:lvlJc w:val="left"/>
      <w:pPr>
        <w:ind w:left="3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881D12">
      <w:start w:val="1"/>
      <w:numFmt w:val="lowerLetter"/>
      <w:lvlText w:val="%2)"/>
      <w:lvlJc w:val="left"/>
      <w:pPr>
        <w:ind w:left="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01CC2D4">
      <w:start w:val="1"/>
      <w:numFmt w:val="lowerRoman"/>
      <w:lvlText w:val="%3"/>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77A2382">
      <w:start w:val="1"/>
      <w:numFmt w:val="decimal"/>
      <w:lvlText w:val="%4"/>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C08124">
      <w:start w:val="1"/>
      <w:numFmt w:val="lowerLetter"/>
      <w:lvlText w:val="%5"/>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F50018A">
      <w:start w:val="1"/>
      <w:numFmt w:val="lowerRoman"/>
      <w:lvlText w:val="%6"/>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EE87FA0">
      <w:start w:val="1"/>
      <w:numFmt w:val="decimal"/>
      <w:lvlText w:val="%7"/>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468C86E">
      <w:start w:val="1"/>
      <w:numFmt w:val="lowerLetter"/>
      <w:lvlText w:val="%8"/>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D9C8BFC">
      <w:start w:val="1"/>
      <w:numFmt w:val="lowerRoman"/>
      <w:lvlText w:val="%9"/>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DDD16DF"/>
    <w:multiLevelType w:val="hybridMultilevel"/>
    <w:tmpl w:val="31BED39E"/>
    <w:lvl w:ilvl="0" w:tplc="121AB9F0">
      <w:start w:val="1"/>
      <w:numFmt w:val="decimal"/>
      <w:lvlText w:val="%1."/>
      <w:lvlJc w:val="left"/>
      <w:pPr>
        <w:ind w:left="3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460C3A">
      <w:start w:val="1"/>
      <w:numFmt w:val="lowerLetter"/>
      <w:lvlText w:val="%2"/>
      <w:lvlJc w:val="left"/>
      <w:pPr>
        <w:ind w:left="10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A1A751A">
      <w:start w:val="1"/>
      <w:numFmt w:val="lowerRoman"/>
      <w:lvlText w:val="%3"/>
      <w:lvlJc w:val="left"/>
      <w:pPr>
        <w:ind w:left="18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A0A386C">
      <w:start w:val="1"/>
      <w:numFmt w:val="decimal"/>
      <w:lvlText w:val="%4"/>
      <w:lvlJc w:val="left"/>
      <w:pPr>
        <w:ind w:left="25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2C5C2E">
      <w:start w:val="1"/>
      <w:numFmt w:val="lowerLetter"/>
      <w:lvlText w:val="%5"/>
      <w:lvlJc w:val="left"/>
      <w:pPr>
        <w:ind w:left="32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EF69156">
      <w:start w:val="1"/>
      <w:numFmt w:val="lowerRoman"/>
      <w:lvlText w:val="%6"/>
      <w:lvlJc w:val="left"/>
      <w:pPr>
        <w:ind w:left="39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E4E1CE2">
      <w:start w:val="1"/>
      <w:numFmt w:val="decimal"/>
      <w:lvlText w:val="%7"/>
      <w:lvlJc w:val="left"/>
      <w:pPr>
        <w:ind w:left="46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29E0E8C">
      <w:start w:val="1"/>
      <w:numFmt w:val="lowerLetter"/>
      <w:lvlText w:val="%8"/>
      <w:lvlJc w:val="left"/>
      <w:pPr>
        <w:ind w:left="54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DFCF614">
      <w:start w:val="1"/>
      <w:numFmt w:val="lowerRoman"/>
      <w:lvlText w:val="%9"/>
      <w:lvlJc w:val="left"/>
      <w:pPr>
        <w:ind w:left="6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5AB6669"/>
    <w:multiLevelType w:val="hybridMultilevel"/>
    <w:tmpl w:val="08F4E40C"/>
    <w:lvl w:ilvl="0" w:tplc="37C02D2E">
      <w:start w:val="1"/>
      <w:numFmt w:val="decimal"/>
      <w:lvlText w:val="%1."/>
      <w:lvlJc w:val="left"/>
      <w:pPr>
        <w:ind w:left="39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BC62776C">
      <w:start w:val="1"/>
      <w:numFmt w:val="lowerLetter"/>
      <w:lvlText w:val="%2)"/>
      <w:lvlJc w:val="left"/>
      <w:pPr>
        <w:ind w:left="66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0BA89540">
      <w:start w:val="1"/>
      <w:numFmt w:val="lowerRoman"/>
      <w:lvlText w:val="%3"/>
      <w:lvlJc w:val="left"/>
      <w:pPr>
        <w:ind w:left="147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552AB7B6">
      <w:start w:val="1"/>
      <w:numFmt w:val="decimal"/>
      <w:lvlText w:val="%4"/>
      <w:lvlJc w:val="left"/>
      <w:pPr>
        <w:ind w:left="219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54C45394">
      <w:start w:val="1"/>
      <w:numFmt w:val="lowerLetter"/>
      <w:lvlText w:val="%5"/>
      <w:lvlJc w:val="left"/>
      <w:pPr>
        <w:ind w:left="291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B99627C8">
      <w:start w:val="1"/>
      <w:numFmt w:val="lowerRoman"/>
      <w:lvlText w:val="%6"/>
      <w:lvlJc w:val="left"/>
      <w:pPr>
        <w:ind w:left="363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96E4208A">
      <w:start w:val="1"/>
      <w:numFmt w:val="decimal"/>
      <w:lvlText w:val="%7"/>
      <w:lvlJc w:val="left"/>
      <w:pPr>
        <w:ind w:left="435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8806758">
      <w:start w:val="1"/>
      <w:numFmt w:val="lowerLetter"/>
      <w:lvlText w:val="%8"/>
      <w:lvlJc w:val="left"/>
      <w:pPr>
        <w:ind w:left="507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F9D2961E">
      <w:start w:val="1"/>
      <w:numFmt w:val="lowerRoman"/>
      <w:lvlText w:val="%9"/>
      <w:lvlJc w:val="left"/>
      <w:pPr>
        <w:ind w:left="579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6381B38"/>
    <w:multiLevelType w:val="hybridMultilevel"/>
    <w:tmpl w:val="F62EDE86"/>
    <w:lvl w:ilvl="0" w:tplc="3C747B7E">
      <w:start w:val="1"/>
      <w:numFmt w:val="lowerLetter"/>
      <w:lvlText w:val="%1)"/>
      <w:lvlJc w:val="left"/>
      <w:pPr>
        <w:ind w:left="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B389B92">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0CEAC64">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24C6896">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922D48">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14624B6">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20CFD42">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4F6B528">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8785848">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D5458E2"/>
    <w:multiLevelType w:val="hybridMultilevel"/>
    <w:tmpl w:val="273A5062"/>
    <w:lvl w:ilvl="0" w:tplc="1ABCEBB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40B564">
      <w:start w:val="1"/>
      <w:numFmt w:val="lowerLetter"/>
      <w:lvlText w:val="%2)"/>
      <w:lvlJc w:val="left"/>
      <w:pPr>
        <w:ind w:left="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954A8A6">
      <w:start w:val="1"/>
      <w:numFmt w:val="lowerRoman"/>
      <w:lvlText w:val="%3"/>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1E4D928">
      <w:start w:val="1"/>
      <w:numFmt w:val="decimal"/>
      <w:lvlText w:val="%4"/>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D50D4EE">
      <w:start w:val="1"/>
      <w:numFmt w:val="lowerLetter"/>
      <w:lvlText w:val="%5"/>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30C2E0E">
      <w:start w:val="1"/>
      <w:numFmt w:val="lowerRoman"/>
      <w:lvlText w:val="%6"/>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3CE2C8A">
      <w:start w:val="1"/>
      <w:numFmt w:val="decimal"/>
      <w:lvlText w:val="%7"/>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FCD3F8">
      <w:start w:val="1"/>
      <w:numFmt w:val="lowerLetter"/>
      <w:lvlText w:val="%8"/>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328E96C">
      <w:start w:val="1"/>
      <w:numFmt w:val="lowerRoman"/>
      <w:lvlText w:val="%9"/>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F291131"/>
    <w:multiLevelType w:val="hybridMultilevel"/>
    <w:tmpl w:val="8D7E88F6"/>
    <w:lvl w:ilvl="0" w:tplc="EDD46A06">
      <w:start w:val="1"/>
      <w:numFmt w:val="decimal"/>
      <w:lvlText w:val="%1."/>
      <w:lvlJc w:val="left"/>
      <w:pPr>
        <w:ind w:left="3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940A3F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B62FD5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952F81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EE2B86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EA0AB0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4146B3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38C779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E2203A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DEB424B"/>
    <w:multiLevelType w:val="hybridMultilevel"/>
    <w:tmpl w:val="F7B0B9B0"/>
    <w:lvl w:ilvl="0" w:tplc="26E8F594">
      <w:start w:val="1"/>
      <w:numFmt w:val="decimal"/>
      <w:lvlText w:val="%1."/>
      <w:lvlJc w:val="left"/>
      <w:pPr>
        <w:ind w:left="3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41A29A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4CCA20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6D4716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A62FC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D9E695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902F22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58D83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D3465E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E9A797D"/>
    <w:multiLevelType w:val="hybridMultilevel"/>
    <w:tmpl w:val="08109C6A"/>
    <w:lvl w:ilvl="0" w:tplc="2A1CD8EE">
      <w:start w:val="1"/>
      <w:numFmt w:val="decimal"/>
      <w:lvlText w:val="%1."/>
      <w:lvlJc w:val="left"/>
      <w:pPr>
        <w:ind w:left="3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A80CC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39450E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050699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1A03DD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BDE87C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302C2B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6E49B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1EC444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F062763"/>
    <w:multiLevelType w:val="hybridMultilevel"/>
    <w:tmpl w:val="83166CD4"/>
    <w:lvl w:ilvl="0" w:tplc="9E14E48A">
      <w:start w:val="1"/>
      <w:numFmt w:val="lowerLetter"/>
      <w:lvlText w:val="%1)"/>
      <w:lvlJc w:val="left"/>
      <w:pPr>
        <w:ind w:left="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AAA886E">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2F80676">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A66FB4A">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1A15FA">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6B6BA3E">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1BAB28E">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B0231F6">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964998E">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1D43E29"/>
    <w:multiLevelType w:val="hybridMultilevel"/>
    <w:tmpl w:val="C90A3F72"/>
    <w:lvl w:ilvl="0" w:tplc="55CCFF4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662EDBC">
      <w:start w:val="2"/>
      <w:numFmt w:val="lowerLetter"/>
      <w:lvlText w:val="%2)"/>
      <w:lvlJc w:val="left"/>
      <w:pPr>
        <w:ind w:left="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43EDF8E">
      <w:start w:val="1"/>
      <w:numFmt w:val="lowerRoman"/>
      <w:lvlText w:val="%3"/>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42AA338">
      <w:start w:val="1"/>
      <w:numFmt w:val="decimal"/>
      <w:lvlText w:val="%4"/>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8A2FBDE">
      <w:start w:val="1"/>
      <w:numFmt w:val="lowerLetter"/>
      <w:lvlText w:val="%5"/>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CD0D6B8">
      <w:start w:val="1"/>
      <w:numFmt w:val="lowerRoman"/>
      <w:lvlText w:val="%6"/>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7BE495A">
      <w:start w:val="1"/>
      <w:numFmt w:val="decimal"/>
      <w:lvlText w:val="%7"/>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BCEF358">
      <w:start w:val="1"/>
      <w:numFmt w:val="lowerLetter"/>
      <w:lvlText w:val="%8"/>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D762314">
      <w:start w:val="1"/>
      <w:numFmt w:val="lowerRoman"/>
      <w:lvlText w:val="%9"/>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FB82963"/>
    <w:multiLevelType w:val="hybridMultilevel"/>
    <w:tmpl w:val="02969A74"/>
    <w:lvl w:ilvl="0" w:tplc="C28E463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1F4352C">
      <w:start w:val="1"/>
      <w:numFmt w:val="lowerLetter"/>
      <w:lvlText w:val="%2)"/>
      <w:lvlJc w:val="left"/>
      <w:pPr>
        <w:ind w:left="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71E5A50">
      <w:start w:val="1"/>
      <w:numFmt w:val="lowerRoman"/>
      <w:lvlText w:val="%3"/>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B0A782A">
      <w:start w:val="1"/>
      <w:numFmt w:val="decimal"/>
      <w:lvlText w:val="%4"/>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E4376A">
      <w:start w:val="1"/>
      <w:numFmt w:val="lowerLetter"/>
      <w:lvlText w:val="%5"/>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AE09342">
      <w:start w:val="1"/>
      <w:numFmt w:val="lowerRoman"/>
      <w:lvlText w:val="%6"/>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AC0B682">
      <w:start w:val="1"/>
      <w:numFmt w:val="decimal"/>
      <w:lvlText w:val="%7"/>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AA86B00">
      <w:start w:val="1"/>
      <w:numFmt w:val="lowerLetter"/>
      <w:lvlText w:val="%8"/>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77C7824">
      <w:start w:val="1"/>
      <w:numFmt w:val="lowerRoman"/>
      <w:lvlText w:val="%9"/>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202988672">
    <w:abstractNumId w:val="9"/>
  </w:num>
  <w:num w:numId="2" w16cid:durableId="1117796386">
    <w:abstractNumId w:val="8"/>
  </w:num>
  <w:num w:numId="3" w16cid:durableId="716321201">
    <w:abstractNumId w:val="10"/>
  </w:num>
  <w:num w:numId="4" w16cid:durableId="1504392242">
    <w:abstractNumId w:val="5"/>
  </w:num>
  <w:num w:numId="5" w16cid:durableId="638073230">
    <w:abstractNumId w:val="2"/>
  </w:num>
  <w:num w:numId="6" w16cid:durableId="1881866768">
    <w:abstractNumId w:val="11"/>
  </w:num>
  <w:num w:numId="7" w16cid:durableId="596645003">
    <w:abstractNumId w:val="0"/>
  </w:num>
  <w:num w:numId="8" w16cid:durableId="501117498">
    <w:abstractNumId w:val="12"/>
  </w:num>
  <w:num w:numId="9" w16cid:durableId="2018732490">
    <w:abstractNumId w:val="1"/>
  </w:num>
  <w:num w:numId="10" w16cid:durableId="1339963512">
    <w:abstractNumId w:val="6"/>
  </w:num>
  <w:num w:numId="11" w16cid:durableId="1098016994">
    <w:abstractNumId w:val="7"/>
  </w:num>
  <w:num w:numId="12" w16cid:durableId="135874357">
    <w:abstractNumId w:val="4"/>
  </w:num>
  <w:num w:numId="13" w16cid:durableId="17723161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1B0"/>
    <w:rsid w:val="001D14DA"/>
    <w:rsid w:val="00656DA0"/>
    <w:rsid w:val="00DA61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82C7F"/>
  <w15:docId w15:val="{A37D3C51-DF3E-4DAD-9CCA-4AAF6FED2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4" w:line="255" w:lineRule="auto"/>
      <w:ind w:left="10" w:right="8280" w:hanging="10"/>
    </w:pPr>
    <w:rPr>
      <w:rFonts w:ascii="Arial" w:eastAsia="Arial" w:hAnsi="Arial" w:cs="Arial"/>
      <w:color w:val="000000"/>
      <w:sz w:val="20"/>
    </w:rPr>
  </w:style>
  <w:style w:type="paragraph" w:styleId="Nadpis1">
    <w:name w:val="heading 1"/>
    <w:next w:val="Normln"/>
    <w:link w:val="Nadpis1Char"/>
    <w:uiPriority w:val="9"/>
    <w:qFormat/>
    <w:pPr>
      <w:keepNext/>
      <w:keepLines/>
      <w:spacing w:after="0" w:line="259" w:lineRule="auto"/>
      <w:ind w:left="10" w:hanging="10"/>
      <w:outlineLvl w:val="0"/>
    </w:pPr>
    <w:rPr>
      <w:rFonts w:ascii="Arial" w:eastAsia="Arial" w:hAnsi="Arial" w:cs="Arial"/>
      <w:b/>
      <w:color w:val="005CA9"/>
      <w:sz w:val="28"/>
    </w:rPr>
  </w:style>
  <w:style w:type="paragraph" w:styleId="Nadpis2">
    <w:name w:val="heading 2"/>
    <w:next w:val="Normln"/>
    <w:link w:val="Nadpis2Char"/>
    <w:uiPriority w:val="9"/>
    <w:unhideWhenUsed/>
    <w:qFormat/>
    <w:pPr>
      <w:keepNext/>
      <w:keepLines/>
      <w:spacing w:after="41" w:line="259" w:lineRule="auto"/>
      <w:ind w:left="10" w:hanging="10"/>
      <w:outlineLvl w:val="1"/>
    </w:pPr>
    <w:rPr>
      <w:rFonts w:ascii="Arial" w:eastAsia="Arial" w:hAnsi="Arial" w:cs="Arial"/>
      <w:b/>
      <w:color w:val="005CA9"/>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Arial" w:eastAsia="Arial" w:hAnsi="Arial" w:cs="Arial"/>
      <w:b/>
      <w:color w:val="005CA9"/>
      <w:sz w:val="22"/>
    </w:rPr>
  </w:style>
  <w:style w:type="character" w:customStyle="1" w:styleId="Nadpis1Char">
    <w:name w:val="Nadpis 1 Char"/>
    <w:link w:val="Nadpis1"/>
    <w:rPr>
      <w:rFonts w:ascii="Arial" w:eastAsia="Arial" w:hAnsi="Arial" w:cs="Arial"/>
      <w:b/>
      <w:color w:val="005CA9"/>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2651</Words>
  <Characters>15641</Characters>
  <Application>Microsoft Office Word</Application>
  <DocSecurity>0</DocSecurity>
  <Lines>130</Lines>
  <Paragraphs>36</Paragraphs>
  <ScaleCrop>false</ScaleCrop>
  <Company>Národní muzeum</Company>
  <LinksUpToDate>false</LinksUpToDate>
  <CharactersWithSpaces>18256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Lubovská Markéta</dc:creator>
  <cp:keywords/>
  <cp:lastModifiedBy>Lubovská Markéta</cp:lastModifiedBy>
  <cp:revision>2</cp:revision>
  <dcterms:created xsi:type="dcterms:W3CDTF">2024-07-11T14:33:00Z</dcterms:created>
  <dcterms:modified xsi:type="dcterms:W3CDTF">2024-07-11T14:33:00Z</dcterms:modified>
</cp:coreProperties>
</file>