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85005" w14:textId="77777777" w:rsidR="00255059" w:rsidRDefault="00874B43">
      <w:pPr>
        <w:spacing w:after="43" w:line="216" w:lineRule="auto"/>
        <w:ind w:left="10" w:right="-15" w:hanging="1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DE919B2" wp14:editId="428B6E2C">
                <wp:simplePos x="0" y="0"/>
                <wp:positionH relativeFrom="column">
                  <wp:posOffset>3</wp:posOffset>
                </wp:positionH>
                <wp:positionV relativeFrom="paragraph">
                  <wp:posOffset>-37645</wp:posOffset>
                </wp:positionV>
                <wp:extent cx="1889994" cy="341903"/>
                <wp:effectExtent l="0" t="0" r="0" b="0"/>
                <wp:wrapSquare wrapText="bothSides"/>
                <wp:docPr id="9584" name="Group 9584"/>
                <wp:cNvGraphicFramePr/>
                <a:graphic xmlns:a="http://schemas.openxmlformats.org/drawingml/2006/main">
                  <a:graphicData uri="http://schemas.microsoft.com/office/word/2010/wordprocessingGroup">
                    <wpg:wgp>
                      <wpg:cNvGrpSpPr/>
                      <wpg:grpSpPr>
                        <a:xfrm>
                          <a:off x="0" y="0"/>
                          <a:ext cx="1889994" cy="341903"/>
                          <a:chOff x="0" y="0"/>
                          <a:chExt cx="1889994" cy="341903"/>
                        </a:xfrm>
                      </wpg:grpSpPr>
                      <wps:wsp>
                        <wps:cNvPr id="86" name="Shape 86"/>
                        <wps:cNvSpPr/>
                        <wps:spPr>
                          <a:xfrm>
                            <a:off x="657520" y="64363"/>
                            <a:ext cx="237477" cy="275120"/>
                          </a:xfrm>
                          <a:custGeom>
                            <a:avLst/>
                            <a:gdLst/>
                            <a:ahLst/>
                            <a:cxnLst/>
                            <a:rect l="0" t="0" r="0" b="0"/>
                            <a:pathLst>
                              <a:path w="237477" h="275120">
                                <a:moveTo>
                                  <a:pt x="0" y="0"/>
                                </a:moveTo>
                                <a:lnTo>
                                  <a:pt x="50622" y="0"/>
                                </a:lnTo>
                                <a:lnTo>
                                  <a:pt x="50622" y="149225"/>
                                </a:lnTo>
                                <a:cubicBezTo>
                                  <a:pt x="50622" y="198501"/>
                                  <a:pt x="80086" y="228041"/>
                                  <a:pt x="118745" y="228041"/>
                                </a:cubicBezTo>
                                <a:cubicBezTo>
                                  <a:pt x="157836" y="228041"/>
                                  <a:pt x="186855" y="198501"/>
                                  <a:pt x="186855" y="149225"/>
                                </a:cubicBezTo>
                                <a:lnTo>
                                  <a:pt x="186855" y="0"/>
                                </a:lnTo>
                                <a:lnTo>
                                  <a:pt x="237477" y="0"/>
                                </a:lnTo>
                                <a:lnTo>
                                  <a:pt x="237477" y="159944"/>
                                </a:lnTo>
                                <a:cubicBezTo>
                                  <a:pt x="237477" y="222047"/>
                                  <a:pt x="190906" y="275120"/>
                                  <a:pt x="118745" y="275120"/>
                                </a:cubicBezTo>
                                <a:cubicBezTo>
                                  <a:pt x="46571" y="275120"/>
                                  <a:pt x="0" y="222047"/>
                                  <a:pt x="0" y="159944"/>
                                </a:cubicBezTo>
                                <a:lnTo>
                                  <a:pt x="0"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7" name="Shape 87"/>
                        <wps:cNvSpPr/>
                        <wps:spPr>
                          <a:xfrm>
                            <a:off x="951641" y="64372"/>
                            <a:ext cx="224396" cy="269329"/>
                          </a:xfrm>
                          <a:custGeom>
                            <a:avLst/>
                            <a:gdLst/>
                            <a:ahLst/>
                            <a:cxnLst/>
                            <a:rect l="0" t="0" r="0" b="0"/>
                            <a:pathLst>
                              <a:path w="224396" h="269329">
                                <a:moveTo>
                                  <a:pt x="0" y="0"/>
                                </a:moveTo>
                                <a:lnTo>
                                  <a:pt x="27356" y="0"/>
                                </a:lnTo>
                                <a:lnTo>
                                  <a:pt x="174307" y="168046"/>
                                </a:lnTo>
                                <a:lnTo>
                                  <a:pt x="174307" y="0"/>
                                </a:lnTo>
                                <a:lnTo>
                                  <a:pt x="224396" y="0"/>
                                </a:lnTo>
                                <a:lnTo>
                                  <a:pt x="224396" y="269329"/>
                                </a:lnTo>
                                <a:lnTo>
                                  <a:pt x="196736" y="269329"/>
                                </a:lnTo>
                                <a:lnTo>
                                  <a:pt x="50076" y="101524"/>
                                </a:lnTo>
                                <a:lnTo>
                                  <a:pt x="50076" y="268872"/>
                                </a:lnTo>
                                <a:lnTo>
                                  <a:pt x="0" y="268872"/>
                                </a:lnTo>
                                <a:lnTo>
                                  <a:pt x="0"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12985" name="Shape 12985"/>
                        <wps:cNvSpPr/>
                        <wps:spPr>
                          <a:xfrm>
                            <a:off x="1235956" y="64363"/>
                            <a:ext cx="51968" cy="268872"/>
                          </a:xfrm>
                          <a:custGeom>
                            <a:avLst/>
                            <a:gdLst/>
                            <a:ahLst/>
                            <a:cxnLst/>
                            <a:rect l="0" t="0" r="0" b="0"/>
                            <a:pathLst>
                              <a:path w="51968" h="268872">
                                <a:moveTo>
                                  <a:pt x="0" y="0"/>
                                </a:moveTo>
                                <a:lnTo>
                                  <a:pt x="51968" y="0"/>
                                </a:lnTo>
                                <a:lnTo>
                                  <a:pt x="51968" y="268872"/>
                                </a:lnTo>
                                <a:lnTo>
                                  <a:pt x="0" y="268872"/>
                                </a:lnTo>
                                <a:lnTo>
                                  <a:pt x="0" y="0"/>
                                </a:lnTo>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9" name="Shape 89"/>
                        <wps:cNvSpPr/>
                        <wps:spPr>
                          <a:xfrm>
                            <a:off x="1332361" y="55735"/>
                            <a:ext cx="144475" cy="286167"/>
                          </a:xfrm>
                          <a:custGeom>
                            <a:avLst/>
                            <a:gdLst/>
                            <a:ahLst/>
                            <a:cxnLst/>
                            <a:rect l="0" t="0" r="0" b="0"/>
                            <a:pathLst>
                              <a:path w="144475" h="286167">
                                <a:moveTo>
                                  <a:pt x="144475" y="0"/>
                                </a:moveTo>
                                <a:lnTo>
                                  <a:pt x="144475" y="44909"/>
                                </a:lnTo>
                                <a:lnTo>
                                  <a:pt x="107956" y="52619"/>
                                </a:lnTo>
                                <a:cubicBezTo>
                                  <a:pt x="74268" y="67520"/>
                                  <a:pt x="50622" y="102405"/>
                                  <a:pt x="50622" y="143077"/>
                                </a:cubicBezTo>
                                <a:cubicBezTo>
                                  <a:pt x="50622" y="183730"/>
                                  <a:pt x="74268" y="218617"/>
                                  <a:pt x="107956" y="233520"/>
                                </a:cubicBezTo>
                                <a:lnTo>
                                  <a:pt x="144475" y="241233"/>
                                </a:lnTo>
                                <a:lnTo>
                                  <a:pt x="144475" y="286167"/>
                                </a:lnTo>
                                <a:lnTo>
                                  <a:pt x="115366" y="283260"/>
                                </a:lnTo>
                                <a:cubicBezTo>
                                  <a:pt x="49521" y="269916"/>
                                  <a:pt x="0" y="212219"/>
                                  <a:pt x="0" y="143077"/>
                                </a:cubicBezTo>
                                <a:cubicBezTo>
                                  <a:pt x="0" y="73924"/>
                                  <a:pt x="49521" y="16244"/>
                                  <a:pt x="115366" y="2905"/>
                                </a:cubicBezTo>
                                <a:lnTo>
                                  <a:pt x="144475"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90" name="Shape 90"/>
                        <wps:cNvSpPr/>
                        <wps:spPr>
                          <a:xfrm>
                            <a:off x="1476836" y="55734"/>
                            <a:ext cx="144501" cy="286169"/>
                          </a:xfrm>
                          <a:custGeom>
                            <a:avLst/>
                            <a:gdLst/>
                            <a:ahLst/>
                            <a:cxnLst/>
                            <a:rect l="0" t="0" r="0" b="0"/>
                            <a:pathLst>
                              <a:path w="144501" h="286169">
                                <a:moveTo>
                                  <a:pt x="13" y="0"/>
                                </a:moveTo>
                                <a:cubicBezTo>
                                  <a:pt x="79832" y="0"/>
                                  <a:pt x="144501" y="64046"/>
                                  <a:pt x="144501" y="143078"/>
                                </a:cubicBezTo>
                                <a:cubicBezTo>
                                  <a:pt x="144501" y="175298"/>
                                  <a:pt x="133744" y="205003"/>
                                  <a:pt x="115621" y="228917"/>
                                </a:cubicBezTo>
                                <a:lnTo>
                                  <a:pt x="138303" y="251638"/>
                                </a:lnTo>
                                <a:lnTo>
                                  <a:pt x="105359" y="284582"/>
                                </a:lnTo>
                                <a:lnTo>
                                  <a:pt x="81788" y="261023"/>
                                </a:lnTo>
                                <a:cubicBezTo>
                                  <a:pt x="58509" y="276847"/>
                                  <a:pt x="30366" y="286169"/>
                                  <a:pt x="13" y="286169"/>
                                </a:cubicBezTo>
                                <a:lnTo>
                                  <a:pt x="0" y="286168"/>
                                </a:lnTo>
                                <a:lnTo>
                                  <a:pt x="0" y="241234"/>
                                </a:lnTo>
                                <a:lnTo>
                                  <a:pt x="13" y="241236"/>
                                </a:lnTo>
                                <a:cubicBezTo>
                                  <a:pt x="17602" y="241236"/>
                                  <a:pt x="34061" y="236156"/>
                                  <a:pt x="48146" y="227355"/>
                                </a:cubicBezTo>
                                <a:lnTo>
                                  <a:pt x="16358" y="195593"/>
                                </a:lnTo>
                                <a:lnTo>
                                  <a:pt x="49340" y="162649"/>
                                </a:lnTo>
                                <a:lnTo>
                                  <a:pt x="80404" y="193700"/>
                                </a:lnTo>
                                <a:cubicBezTo>
                                  <a:pt x="88925" y="178918"/>
                                  <a:pt x="93853" y="161595"/>
                                  <a:pt x="93853" y="143078"/>
                                </a:cubicBezTo>
                                <a:cubicBezTo>
                                  <a:pt x="93853" y="88849"/>
                                  <a:pt x="51829" y="44907"/>
                                  <a:pt x="13" y="44907"/>
                                </a:cubicBezTo>
                                <a:lnTo>
                                  <a:pt x="0" y="44910"/>
                                </a:lnTo>
                                <a:lnTo>
                                  <a:pt x="0" y="1"/>
                                </a:lnTo>
                                <a:lnTo>
                                  <a:pt x="13"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91" name="Shape 91"/>
                        <wps:cNvSpPr/>
                        <wps:spPr>
                          <a:xfrm>
                            <a:off x="1623040" y="64371"/>
                            <a:ext cx="133318" cy="268872"/>
                          </a:xfrm>
                          <a:custGeom>
                            <a:avLst/>
                            <a:gdLst/>
                            <a:ahLst/>
                            <a:cxnLst/>
                            <a:rect l="0" t="0" r="0" b="0"/>
                            <a:pathLst>
                              <a:path w="133318" h="268872">
                                <a:moveTo>
                                  <a:pt x="117539" y="0"/>
                                </a:moveTo>
                                <a:lnTo>
                                  <a:pt x="133318" y="0"/>
                                </a:lnTo>
                                <a:lnTo>
                                  <a:pt x="133318" y="78841"/>
                                </a:lnTo>
                                <a:lnTo>
                                  <a:pt x="93561" y="174028"/>
                                </a:lnTo>
                                <a:lnTo>
                                  <a:pt x="133318" y="174028"/>
                                </a:lnTo>
                                <a:lnTo>
                                  <a:pt x="133318" y="218237"/>
                                </a:lnTo>
                                <a:lnTo>
                                  <a:pt x="75095" y="218237"/>
                                </a:lnTo>
                                <a:lnTo>
                                  <a:pt x="53937" y="268872"/>
                                </a:lnTo>
                                <a:lnTo>
                                  <a:pt x="0" y="268872"/>
                                </a:lnTo>
                                <a:lnTo>
                                  <a:pt x="117539"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92" name="Shape 92"/>
                        <wps:cNvSpPr/>
                        <wps:spPr>
                          <a:xfrm>
                            <a:off x="1756358" y="64371"/>
                            <a:ext cx="133636" cy="268872"/>
                          </a:xfrm>
                          <a:custGeom>
                            <a:avLst/>
                            <a:gdLst/>
                            <a:ahLst/>
                            <a:cxnLst/>
                            <a:rect l="0" t="0" r="0" b="0"/>
                            <a:pathLst>
                              <a:path w="133636" h="268872">
                                <a:moveTo>
                                  <a:pt x="0" y="0"/>
                                </a:moveTo>
                                <a:lnTo>
                                  <a:pt x="19082" y="0"/>
                                </a:lnTo>
                                <a:lnTo>
                                  <a:pt x="133636" y="268872"/>
                                </a:lnTo>
                                <a:lnTo>
                                  <a:pt x="78162" y="268872"/>
                                </a:lnTo>
                                <a:lnTo>
                                  <a:pt x="57677" y="218237"/>
                                </a:lnTo>
                                <a:lnTo>
                                  <a:pt x="0" y="218237"/>
                                </a:lnTo>
                                <a:lnTo>
                                  <a:pt x="0" y="174028"/>
                                </a:lnTo>
                                <a:lnTo>
                                  <a:pt x="39757" y="174028"/>
                                </a:lnTo>
                                <a:lnTo>
                                  <a:pt x="641" y="77305"/>
                                </a:lnTo>
                                <a:lnTo>
                                  <a:pt x="0" y="78841"/>
                                </a:lnTo>
                                <a:lnTo>
                                  <a:pt x="0"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93" name="Shape 93"/>
                        <wps:cNvSpPr/>
                        <wps:spPr>
                          <a:xfrm>
                            <a:off x="0" y="291946"/>
                            <a:ext cx="184582" cy="37681"/>
                          </a:xfrm>
                          <a:custGeom>
                            <a:avLst/>
                            <a:gdLst/>
                            <a:ahLst/>
                            <a:cxnLst/>
                            <a:rect l="0" t="0" r="0" b="0"/>
                            <a:pathLst>
                              <a:path w="184582" h="37681">
                                <a:moveTo>
                                  <a:pt x="21082" y="0"/>
                                </a:moveTo>
                                <a:lnTo>
                                  <a:pt x="129667" y="0"/>
                                </a:lnTo>
                                <a:cubicBezTo>
                                  <a:pt x="134125" y="3823"/>
                                  <a:pt x="139243" y="8293"/>
                                  <a:pt x="144348" y="12128"/>
                                </a:cubicBezTo>
                                <a:cubicBezTo>
                                  <a:pt x="156489" y="21704"/>
                                  <a:pt x="169901" y="30645"/>
                                  <a:pt x="184582" y="37681"/>
                                </a:cubicBezTo>
                                <a:lnTo>
                                  <a:pt x="0" y="37681"/>
                                </a:lnTo>
                                <a:lnTo>
                                  <a:pt x="21082"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94" name="Shape 94"/>
                        <wps:cNvSpPr/>
                        <wps:spPr>
                          <a:xfrm>
                            <a:off x="148826" y="55608"/>
                            <a:ext cx="399199" cy="277216"/>
                          </a:xfrm>
                          <a:custGeom>
                            <a:avLst/>
                            <a:gdLst/>
                            <a:ahLst/>
                            <a:cxnLst/>
                            <a:rect l="0" t="0" r="0" b="0"/>
                            <a:pathLst>
                              <a:path w="399199" h="277216">
                                <a:moveTo>
                                  <a:pt x="76645" y="0"/>
                                </a:moveTo>
                                <a:cubicBezTo>
                                  <a:pt x="70256" y="5118"/>
                                  <a:pt x="32575" y="79197"/>
                                  <a:pt x="79197" y="144348"/>
                                </a:cubicBezTo>
                                <a:cubicBezTo>
                                  <a:pt x="92608" y="162865"/>
                                  <a:pt x="111773" y="185229"/>
                                  <a:pt x="134760" y="198653"/>
                                </a:cubicBezTo>
                                <a:cubicBezTo>
                                  <a:pt x="158394" y="212065"/>
                                  <a:pt x="173736" y="215252"/>
                                  <a:pt x="183947" y="218440"/>
                                </a:cubicBezTo>
                                <a:cubicBezTo>
                                  <a:pt x="201828" y="222910"/>
                                  <a:pt x="229299" y="224828"/>
                                  <a:pt x="265062" y="226759"/>
                                </a:cubicBezTo>
                                <a:cubicBezTo>
                                  <a:pt x="293815" y="228663"/>
                                  <a:pt x="352577" y="228663"/>
                                  <a:pt x="362788" y="228663"/>
                                </a:cubicBezTo>
                                <a:lnTo>
                                  <a:pt x="373659" y="228663"/>
                                </a:lnTo>
                                <a:lnTo>
                                  <a:pt x="399199" y="277216"/>
                                </a:lnTo>
                                <a:cubicBezTo>
                                  <a:pt x="399199" y="277216"/>
                                  <a:pt x="313614" y="277216"/>
                                  <a:pt x="274015" y="275285"/>
                                </a:cubicBezTo>
                                <a:cubicBezTo>
                                  <a:pt x="228663" y="272745"/>
                                  <a:pt x="194170" y="270180"/>
                                  <a:pt x="171818" y="264439"/>
                                </a:cubicBezTo>
                                <a:cubicBezTo>
                                  <a:pt x="159042" y="260604"/>
                                  <a:pt x="139243" y="256121"/>
                                  <a:pt x="109220" y="238874"/>
                                </a:cubicBezTo>
                                <a:cubicBezTo>
                                  <a:pt x="81115" y="222288"/>
                                  <a:pt x="51740" y="193535"/>
                                  <a:pt x="36398" y="169266"/>
                                </a:cubicBezTo>
                                <a:cubicBezTo>
                                  <a:pt x="0" y="111125"/>
                                  <a:pt x="8941" y="71539"/>
                                  <a:pt x="14046" y="52375"/>
                                </a:cubicBezTo>
                                <a:cubicBezTo>
                                  <a:pt x="24270" y="38329"/>
                                  <a:pt x="37681" y="24270"/>
                                  <a:pt x="52362" y="14059"/>
                                </a:cubicBezTo>
                                <a:cubicBezTo>
                                  <a:pt x="62586" y="6388"/>
                                  <a:pt x="69609" y="3188"/>
                                  <a:pt x="76645" y="0"/>
                                </a:cubicBez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95" name="Shape 95"/>
                        <wps:cNvSpPr/>
                        <wps:spPr>
                          <a:xfrm>
                            <a:off x="85583" y="0"/>
                            <a:ext cx="304673" cy="329624"/>
                          </a:xfrm>
                          <a:custGeom>
                            <a:avLst/>
                            <a:gdLst/>
                            <a:ahLst/>
                            <a:cxnLst/>
                            <a:rect l="0" t="0" r="0" b="0"/>
                            <a:pathLst>
                              <a:path w="304673" h="329624">
                                <a:moveTo>
                                  <a:pt x="168146" y="2098"/>
                                </a:moveTo>
                                <a:cubicBezTo>
                                  <a:pt x="177607" y="2797"/>
                                  <a:pt x="187627" y="4355"/>
                                  <a:pt x="198006" y="7069"/>
                                </a:cubicBezTo>
                                <a:cubicBezTo>
                                  <a:pt x="242087" y="19198"/>
                                  <a:pt x="279781" y="46668"/>
                                  <a:pt x="304673" y="82431"/>
                                </a:cubicBezTo>
                                <a:cubicBezTo>
                                  <a:pt x="304673" y="82431"/>
                                  <a:pt x="266992" y="33257"/>
                                  <a:pt x="202476" y="27503"/>
                                </a:cubicBezTo>
                                <a:cubicBezTo>
                                  <a:pt x="199288" y="27503"/>
                                  <a:pt x="196736" y="26868"/>
                                  <a:pt x="193535" y="26868"/>
                                </a:cubicBezTo>
                                <a:cubicBezTo>
                                  <a:pt x="161608" y="26233"/>
                                  <a:pt x="130950" y="37092"/>
                                  <a:pt x="106032" y="55609"/>
                                </a:cubicBezTo>
                                <a:cubicBezTo>
                                  <a:pt x="89421" y="67102"/>
                                  <a:pt x="75375" y="81796"/>
                                  <a:pt x="63881" y="98408"/>
                                </a:cubicBezTo>
                                <a:cubicBezTo>
                                  <a:pt x="63881" y="99690"/>
                                  <a:pt x="61316" y="102243"/>
                                  <a:pt x="58763" y="106713"/>
                                </a:cubicBezTo>
                                <a:lnTo>
                                  <a:pt x="58128" y="107983"/>
                                </a:lnTo>
                                <a:cubicBezTo>
                                  <a:pt x="57493" y="109253"/>
                                  <a:pt x="56845" y="109901"/>
                                  <a:pt x="56845" y="111184"/>
                                </a:cubicBezTo>
                                <a:cubicBezTo>
                                  <a:pt x="48552" y="126500"/>
                                  <a:pt x="37681" y="153335"/>
                                  <a:pt x="37681" y="187193"/>
                                </a:cubicBezTo>
                                <a:cubicBezTo>
                                  <a:pt x="37046" y="230627"/>
                                  <a:pt x="56223" y="261920"/>
                                  <a:pt x="63881" y="272779"/>
                                </a:cubicBezTo>
                                <a:cubicBezTo>
                                  <a:pt x="63881" y="273414"/>
                                  <a:pt x="82398" y="285555"/>
                                  <a:pt x="109868" y="290660"/>
                                </a:cubicBezTo>
                                <a:cubicBezTo>
                                  <a:pt x="120726" y="292578"/>
                                  <a:pt x="131585" y="293213"/>
                                  <a:pt x="140526" y="293213"/>
                                </a:cubicBezTo>
                                <a:cubicBezTo>
                                  <a:pt x="148184" y="298953"/>
                                  <a:pt x="155854" y="304719"/>
                                  <a:pt x="164160" y="309177"/>
                                </a:cubicBezTo>
                                <a:cubicBezTo>
                                  <a:pt x="177571" y="317483"/>
                                  <a:pt x="189065" y="322588"/>
                                  <a:pt x="199288" y="326423"/>
                                </a:cubicBezTo>
                                <a:cubicBezTo>
                                  <a:pt x="188430" y="328341"/>
                                  <a:pt x="177571" y="329624"/>
                                  <a:pt x="167348" y="329624"/>
                                </a:cubicBezTo>
                                <a:cubicBezTo>
                                  <a:pt x="131585" y="329624"/>
                                  <a:pt x="97092" y="312364"/>
                                  <a:pt x="68986" y="290660"/>
                                </a:cubicBezTo>
                                <a:cubicBezTo>
                                  <a:pt x="35141" y="264473"/>
                                  <a:pt x="10871" y="228697"/>
                                  <a:pt x="4483" y="189098"/>
                                </a:cubicBezTo>
                                <a:cubicBezTo>
                                  <a:pt x="3835" y="184628"/>
                                  <a:pt x="3200" y="180157"/>
                                  <a:pt x="2553" y="173769"/>
                                </a:cubicBezTo>
                                <a:cubicBezTo>
                                  <a:pt x="0" y="146312"/>
                                  <a:pt x="3835" y="112454"/>
                                  <a:pt x="23000" y="80526"/>
                                </a:cubicBezTo>
                                <a:cubicBezTo>
                                  <a:pt x="38964" y="52421"/>
                                  <a:pt x="63246" y="28138"/>
                                  <a:pt x="103467" y="10892"/>
                                </a:cubicBezTo>
                                <a:cubicBezTo>
                                  <a:pt x="116411" y="5625"/>
                                  <a:pt x="139764" y="0"/>
                                  <a:pt x="168146" y="2098"/>
                                </a:cubicBez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96" name="Shape 96"/>
                        <wps:cNvSpPr/>
                        <wps:spPr>
                          <a:xfrm>
                            <a:off x="325117" y="70303"/>
                            <a:ext cx="91973" cy="193535"/>
                          </a:xfrm>
                          <a:custGeom>
                            <a:avLst/>
                            <a:gdLst/>
                            <a:ahLst/>
                            <a:cxnLst/>
                            <a:rect l="0" t="0" r="0" b="0"/>
                            <a:pathLst>
                              <a:path w="91973" h="193535">
                                <a:moveTo>
                                  <a:pt x="30010" y="0"/>
                                </a:moveTo>
                                <a:cubicBezTo>
                                  <a:pt x="53645" y="14694"/>
                                  <a:pt x="88138" y="58750"/>
                                  <a:pt x="89421" y="98996"/>
                                </a:cubicBezTo>
                                <a:cubicBezTo>
                                  <a:pt x="91973" y="137325"/>
                                  <a:pt x="72809" y="175006"/>
                                  <a:pt x="60033" y="193535"/>
                                </a:cubicBezTo>
                                <a:cubicBezTo>
                                  <a:pt x="38951" y="192253"/>
                                  <a:pt x="22987" y="190335"/>
                                  <a:pt x="12128" y="187147"/>
                                </a:cubicBezTo>
                                <a:cubicBezTo>
                                  <a:pt x="8928" y="186500"/>
                                  <a:pt x="4470" y="185229"/>
                                  <a:pt x="0" y="183960"/>
                                </a:cubicBezTo>
                                <a:cubicBezTo>
                                  <a:pt x="13411" y="171171"/>
                                  <a:pt x="33846" y="147549"/>
                                  <a:pt x="44069" y="111125"/>
                                </a:cubicBezTo>
                                <a:cubicBezTo>
                                  <a:pt x="58115" y="60033"/>
                                  <a:pt x="44069" y="25540"/>
                                  <a:pt x="30010" y="0"/>
                                </a:cubicBez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g:wgp>
                  </a:graphicData>
                </a:graphic>
              </wp:anchor>
            </w:drawing>
          </mc:Choice>
          <mc:Fallback xmlns:a="http://schemas.openxmlformats.org/drawingml/2006/main">
            <w:pict>
              <v:group id="Group 9584" style="width:148.818pt;height:26.9215pt;position:absolute;mso-position-horizontal-relative:text;mso-position-horizontal:absolute;margin-left:0.000202179pt;mso-position-vertical-relative:text;margin-top:-2.96428pt;" coordsize="18899,3419">
                <v:shape id="Shape 86" style="position:absolute;width:2374;height:2751;left:6575;top:643;" coordsize="237477,275120" path="m0,0l50622,0l50622,149225c50622,198501,80086,228041,118745,228041c157836,228041,186855,198501,186855,149225l186855,0l237477,0l237477,159944c237477,222047,190906,275120,118745,275120c46571,275120,0,222047,0,159944l0,0x">
                  <v:stroke weight="0pt" endcap="flat" joinstyle="miter" miterlimit="10" on="false" color="#000000" opacity="0"/>
                  <v:fill on="true" color="#005ca9"/>
                </v:shape>
                <v:shape id="Shape 87" style="position:absolute;width:2243;height:2693;left:9516;top:643;" coordsize="224396,269329" path="m0,0l27356,0l174307,168046l174307,0l224396,0l224396,269329l196736,269329l50076,101524l50076,268872l0,268872l0,0x">
                  <v:stroke weight="0pt" endcap="flat" joinstyle="miter" miterlimit="10" on="false" color="#000000" opacity="0"/>
                  <v:fill on="true" color="#005ca9"/>
                </v:shape>
                <v:shape id="Shape 12986" style="position:absolute;width:519;height:2688;left:12359;top:643;" coordsize="51968,268872" path="m0,0l51968,0l51968,268872l0,268872l0,0">
                  <v:stroke weight="0pt" endcap="flat" joinstyle="miter" miterlimit="10" on="false" color="#000000" opacity="0"/>
                  <v:fill on="true" color="#005ca9"/>
                </v:shape>
                <v:shape id="Shape 89" style="position:absolute;width:1444;height:2861;left:13323;top:557;" coordsize="144475,286167" path="m144475,0l144475,44909l107956,52619c74268,67520,50622,102405,50622,143077c50622,183730,74268,218617,107956,233520l144475,241233l144475,286167l115366,283260c49521,269916,0,212219,0,143077c0,73924,49521,16244,115366,2905l144475,0x">
                  <v:stroke weight="0pt" endcap="flat" joinstyle="miter" miterlimit="10" on="false" color="#000000" opacity="0"/>
                  <v:fill on="true" color="#005ca9"/>
                </v:shape>
                <v:shape id="Shape 90" style="position:absolute;width:1445;height:2861;left:14768;top:557;" coordsize="144501,286169" path="m13,0c79832,0,144501,64046,144501,143078c144501,175298,133744,205003,115621,228917l138303,251638l105359,284582l81788,261023c58509,276847,30366,286169,13,286169l0,286168l0,241234l13,241236c17602,241236,34061,236156,48146,227355l16358,195593l49340,162649l80404,193700c88925,178918,93853,161595,93853,143078c93853,88849,51829,44907,13,44907l0,44910l0,1l13,0x">
                  <v:stroke weight="0pt" endcap="flat" joinstyle="miter" miterlimit="10" on="false" color="#000000" opacity="0"/>
                  <v:fill on="true" color="#005ca9"/>
                </v:shape>
                <v:shape id="Shape 91" style="position:absolute;width:1333;height:2688;left:16230;top:643;" coordsize="133318,268872" path="m117539,0l133318,0l133318,78841l93561,174028l133318,174028l133318,218237l75095,218237l53937,268872l0,268872l117539,0x">
                  <v:stroke weight="0pt" endcap="flat" joinstyle="miter" miterlimit="10" on="false" color="#000000" opacity="0"/>
                  <v:fill on="true" color="#005ca9"/>
                </v:shape>
                <v:shape id="Shape 92" style="position:absolute;width:1336;height:2688;left:17563;top:643;" coordsize="133636,268872" path="m0,0l19082,0l133636,268872l78162,268872l57677,218237l0,218237l0,174028l39757,174028l641,77305l0,78841l0,0x">
                  <v:stroke weight="0pt" endcap="flat" joinstyle="miter" miterlimit="10" on="false" color="#000000" opacity="0"/>
                  <v:fill on="true" color="#005ca9"/>
                </v:shape>
                <v:shape id="Shape 93" style="position:absolute;width:1845;height:376;left:0;top:2919;" coordsize="184582,37681" path="m21082,0l129667,0c134125,3823,139243,8293,144348,12128c156489,21704,169901,30645,184582,37681l0,37681l21082,0x">
                  <v:stroke weight="0pt" endcap="flat" joinstyle="miter" miterlimit="10" on="false" color="#000000" opacity="0"/>
                  <v:fill on="true" color="#005ca9"/>
                </v:shape>
                <v:shape id="Shape 94" style="position:absolute;width:3991;height:2772;left:1488;top:556;" coordsize="399199,277216" path="m76645,0c70256,5118,32575,79197,79197,144348c92608,162865,111773,185229,134760,198653c158394,212065,173736,215252,183947,218440c201828,222910,229299,224828,265062,226759c293815,228663,352577,228663,362788,228663l373659,228663l399199,277216c399199,277216,313614,277216,274015,275285c228663,272745,194170,270180,171818,264439c159042,260604,139243,256121,109220,238874c81115,222288,51740,193535,36398,169266c0,111125,8941,71539,14046,52375c24270,38329,37681,24270,52362,14059c62586,6388,69609,3188,76645,0x">
                  <v:stroke weight="0pt" endcap="flat" joinstyle="miter" miterlimit="10" on="false" color="#000000" opacity="0"/>
                  <v:fill on="true" color="#005ca9"/>
                </v:shape>
                <v:shape id="Shape 95" style="position:absolute;width:3046;height:3296;left:855;top:0;" coordsize="304673,329624" path="m168146,2098c177607,2797,187627,4355,198006,7069c242087,19198,279781,46668,304673,82431c304673,82431,266992,33257,202476,27503c199288,27503,196736,26868,193535,26868c161608,26233,130950,37092,106032,55609c89421,67102,75375,81796,63881,98408c63881,99690,61316,102243,58763,106713l58128,107983c57493,109253,56845,109901,56845,111184c48552,126500,37681,153335,37681,187193c37046,230627,56223,261920,63881,272779c63881,273414,82398,285555,109868,290660c120726,292578,131585,293213,140526,293213c148184,298953,155854,304719,164160,309177c177571,317483,189065,322588,199288,326423c188430,328341,177571,329624,167348,329624c131585,329624,97092,312364,68986,290660c35141,264473,10871,228697,4483,189098c3835,184628,3200,180157,2553,173769c0,146312,3835,112454,23000,80526c38964,52421,63246,28138,103467,10892c116411,5625,139764,0,168146,2098x">
                  <v:stroke weight="0pt" endcap="flat" joinstyle="miter" miterlimit="10" on="false" color="#000000" opacity="0"/>
                  <v:fill on="true" color="#005ca9"/>
                </v:shape>
                <v:shape id="Shape 96" style="position:absolute;width:919;height:1935;left:3251;top:703;" coordsize="91973,193535" path="m30010,0c53645,14694,88138,58750,89421,98996c91973,137325,72809,175006,60033,193535c38951,192253,22987,190335,12128,187147c8928,186500,4470,185229,0,183960c13411,171171,33846,147549,44069,111125c58115,60033,44069,25540,30010,0x">
                  <v:stroke weight="0pt" endcap="flat" joinstyle="miter" miterlimit="10" on="false" color="#000000" opacity="0"/>
                  <v:fill on="true" color="#005ca9"/>
                </v:shape>
                <w10:wrap type="square"/>
              </v:group>
            </w:pict>
          </mc:Fallback>
        </mc:AlternateContent>
      </w:r>
      <w:r>
        <w:rPr>
          <w:color w:val="005CA9"/>
          <w:sz w:val="24"/>
        </w:rPr>
        <w:t>Všeobecné pojistné podmínky</w:t>
      </w:r>
    </w:p>
    <w:p w14:paraId="66D2AF59" w14:textId="77777777" w:rsidR="00255059" w:rsidRDefault="00874B43">
      <w:pPr>
        <w:spacing w:after="605" w:line="216" w:lineRule="auto"/>
        <w:ind w:left="10" w:right="-15" w:hanging="10"/>
        <w:jc w:val="right"/>
      </w:pPr>
      <w:r>
        <w:rPr>
          <w:color w:val="005CA9"/>
          <w:sz w:val="24"/>
        </w:rPr>
        <w:t>havarijního pojištění vozidel (KASKO) – zvláštní část UCZ/Kas/24</w:t>
      </w:r>
    </w:p>
    <w:p w14:paraId="3B9DE560" w14:textId="77777777" w:rsidR="00255059" w:rsidRDefault="00874B43">
      <w:pPr>
        <w:pStyle w:val="Nadpis1"/>
        <w:ind w:left="0" w:firstLine="0"/>
      </w:pPr>
      <w:r>
        <w:t>Obsah</w:t>
      </w:r>
    </w:p>
    <w:p w14:paraId="33757595" w14:textId="77777777" w:rsidR="00255059" w:rsidRDefault="00874B43">
      <w:pPr>
        <w:ind w:left="-15" w:firstLine="0"/>
      </w:pPr>
      <w:r>
        <w:t>čl. 1 Rozsah pojištění, pojistná nebezpečí čl. 2 Územní platnost, počátek a konec pojištění čl. 3 Předmět pojištění čl. 4 Pojistná částka čl. 5 Pojistné, Bonus-Malus čl. 6 Pojistné plnění čl. 7 Spoluúčast</w:t>
      </w:r>
    </w:p>
    <w:p w14:paraId="3C2CA993" w14:textId="77777777" w:rsidR="00255059" w:rsidRDefault="00874B43">
      <w:pPr>
        <w:ind w:left="-15" w:right="6970" w:firstLine="0"/>
      </w:pPr>
      <w:r>
        <w:t>čl. 8 Využitelné zbytky a nález vozidla čl. 9 Výplata pojistného plnění čl. 10 Přechod práv a povinností</w:t>
      </w:r>
    </w:p>
    <w:p w14:paraId="18723B14" w14:textId="77777777" w:rsidR="00255059" w:rsidRDefault="00874B43">
      <w:pPr>
        <w:spacing w:after="240" w:line="250" w:lineRule="auto"/>
        <w:ind w:left="-15" w:right="5131" w:firstLine="0"/>
        <w:jc w:val="both"/>
      </w:pPr>
      <w:r>
        <w:t>čl. 11 Povinnosti pojistníka (pojištěného a oprávněné osoby) čl. 12 Zvláštní ujednání pro vozidla pronajatá na leasing čl. 13 Výluky čl. 14 Závěrečná ustanovení</w:t>
      </w:r>
    </w:p>
    <w:p w14:paraId="71513D76" w14:textId="77777777" w:rsidR="00255059" w:rsidRDefault="00874B43">
      <w:pPr>
        <w:spacing w:after="357"/>
        <w:ind w:left="-15" w:right="245" w:firstLine="0"/>
      </w:pPr>
      <w:r>
        <w:t xml:space="preserve">Havarijní pojištění vozidel KASKO je upraveno touto zvláštní částí všeobecných pojistných podmínek, Všeobecnými pojistnými podmínkami – obecná část UCZ/15 a zvláštní částí UCZ/Voz/24, které spolu </w:t>
      </w:r>
      <w:proofErr w:type="gramStart"/>
      <w:r>
        <w:t>tvoří</w:t>
      </w:r>
      <w:proofErr w:type="gramEnd"/>
      <w:r>
        <w:t xml:space="preserve"> nedílnou součást. Toto pojištění se sjednává jako pojištění škodové.</w:t>
      </w:r>
    </w:p>
    <w:p w14:paraId="54AFD7D8" w14:textId="77777777" w:rsidR="00255059" w:rsidRDefault="00874B43">
      <w:pPr>
        <w:pStyle w:val="Nadpis1"/>
        <w:ind w:left="-5"/>
      </w:pPr>
      <w:r>
        <w:t>Článek 1</w:t>
      </w:r>
    </w:p>
    <w:p w14:paraId="78F85C99" w14:textId="77777777" w:rsidR="00255059" w:rsidRDefault="00874B43">
      <w:pPr>
        <w:pStyle w:val="Nadpis2"/>
        <w:ind w:left="-5"/>
      </w:pPr>
      <w:r>
        <w:t>Rozsah pojištění, pojistná nebezpečí</w:t>
      </w:r>
    </w:p>
    <w:p w14:paraId="6B053F55" w14:textId="77777777" w:rsidR="00255059" w:rsidRDefault="00874B43">
      <w:pPr>
        <w:numPr>
          <w:ilvl w:val="0"/>
          <w:numId w:val="1"/>
        </w:numPr>
        <w:ind w:right="479" w:hanging="340"/>
      </w:pPr>
      <w:r>
        <w:t>Pojištění se sjednává pro případ vzniku pojistné události na pojištěném vozidle v důsledku následujících příčin (pojistná nebezpečí) nebo jejich kombinace podle specifikace uvedené v pojistné smlouvě: a) havárií,</w:t>
      </w:r>
    </w:p>
    <w:p w14:paraId="435B937E" w14:textId="77777777" w:rsidR="00255059" w:rsidRDefault="00874B43">
      <w:pPr>
        <w:numPr>
          <w:ilvl w:val="1"/>
          <w:numId w:val="1"/>
        </w:numPr>
        <w:ind w:right="24" w:hanging="34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A0E63C6" wp14:editId="1516A250">
                <wp:simplePos x="0" y="0"/>
                <wp:positionH relativeFrom="page">
                  <wp:posOffset>199328</wp:posOffset>
                </wp:positionH>
                <wp:positionV relativeFrom="page">
                  <wp:posOffset>9683936</wp:posOffset>
                </wp:positionV>
                <wp:extent cx="89529" cy="540067"/>
                <wp:effectExtent l="0" t="0" r="0" b="0"/>
                <wp:wrapSquare wrapText="bothSides"/>
                <wp:docPr id="9583" name="Group 9583"/>
                <wp:cNvGraphicFramePr/>
                <a:graphic xmlns:a="http://schemas.openxmlformats.org/drawingml/2006/main">
                  <a:graphicData uri="http://schemas.microsoft.com/office/word/2010/wordprocessingGroup">
                    <wpg:wgp>
                      <wpg:cNvGrpSpPr/>
                      <wpg:grpSpPr>
                        <a:xfrm>
                          <a:off x="0" y="0"/>
                          <a:ext cx="89529" cy="540067"/>
                          <a:chOff x="0" y="0"/>
                          <a:chExt cx="89529" cy="540067"/>
                        </a:xfrm>
                      </wpg:grpSpPr>
                      <wps:wsp>
                        <wps:cNvPr id="85" name="Rectangle 85"/>
                        <wps:cNvSpPr/>
                        <wps:spPr>
                          <a:xfrm rot="-5399999">
                            <a:off x="-299607" y="121385"/>
                            <a:ext cx="718289" cy="119074"/>
                          </a:xfrm>
                          <a:prstGeom prst="rect">
                            <a:avLst/>
                          </a:prstGeom>
                          <a:ln>
                            <a:noFill/>
                          </a:ln>
                        </wps:spPr>
                        <wps:txbx>
                          <w:txbxContent>
                            <w:p w14:paraId="25ECDBBB" w14:textId="77777777" w:rsidR="00255059" w:rsidRDefault="00874B43">
                              <w:pPr>
                                <w:spacing w:after="160"/>
                                <w:ind w:left="0" w:right="0" w:firstLine="0"/>
                              </w:pPr>
                              <w:r>
                                <w:rPr>
                                  <w:sz w:val="15"/>
                                </w:rPr>
                                <w:t>EU 4372/3/E</w:t>
                              </w:r>
                            </w:p>
                          </w:txbxContent>
                        </wps:txbx>
                        <wps:bodyPr horzOverflow="overflow" vert="horz" lIns="0" tIns="0" rIns="0" bIns="0" rtlCol="0">
                          <a:noAutofit/>
                        </wps:bodyPr>
                      </wps:wsp>
                    </wpg:wgp>
                  </a:graphicData>
                </a:graphic>
              </wp:anchor>
            </w:drawing>
          </mc:Choice>
          <mc:Fallback xmlns:a="http://schemas.openxmlformats.org/drawingml/2006/main">
            <w:pict>
              <v:group id="Group 9583" style="width:7.04956pt;height:42.525pt;position:absolute;mso-position-horizontal-relative:page;mso-position-horizontal:absolute;margin-left:15.6951pt;mso-position-vertical-relative:page;margin-top:762.515pt;" coordsize="895,5400">
                <v:rect id="Rectangle 85" style="position:absolute;width:7182;height:1190;left:-2996;top:1213;rotation:270;" filled="f" stroked="f">
                  <v:textbox inset="0,0,0,0" style="layout-flow:vertical;mso-layout-flow-alt:bottom-to-top">
                    <w:txbxContent>
                      <w:p>
                        <w:pPr>
                          <w:spacing w:before="0" w:after="160" w:line="259" w:lineRule="auto"/>
                          <w:ind w:left="0" w:right="0" w:firstLine="0"/>
                        </w:pPr>
                        <w:r>
                          <w:rPr>
                            <w:sz w:val="15"/>
                          </w:rPr>
                          <w:t xml:space="preserve">EU 4372/3/E</w:t>
                        </w:r>
                      </w:p>
                    </w:txbxContent>
                  </v:textbox>
                </v:rect>
                <w10:wrap type="square"/>
              </v:group>
            </w:pict>
          </mc:Fallback>
        </mc:AlternateContent>
      </w:r>
      <w:r>
        <w:t>vandalismem,</w:t>
      </w:r>
    </w:p>
    <w:p w14:paraId="2B362D1B" w14:textId="77777777" w:rsidR="00255059" w:rsidRDefault="00874B43">
      <w:pPr>
        <w:numPr>
          <w:ilvl w:val="1"/>
          <w:numId w:val="1"/>
        </w:numPr>
        <w:ind w:right="24" w:hanging="340"/>
      </w:pPr>
      <w:r>
        <w:t>živelní událostí,</w:t>
      </w:r>
    </w:p>
    <w:p w14:paraId="586D209A" w14:textId="77777777" w:rsidR="00255059" w:rsidRDefault="00874B43">
      <w:pPr>
        <w:numPr>
          <w:ilvl w:val="1"/>
          <w:numId w:val="1"/>
        </w:numPr>
        <w:ind w:right="24" w:hanging="340"/>
      </w:pPr>
      <w:r>
        <w:t>pádem či nárazem věci,</w:t>
      </w:r>
    </w:p>
    <w:p w14:paraId="6D888BD5" w14:textId="77777777" w:rsidR="00255059" w:rsidRDefault="00874B43">
      <w:pPr>
        <w:numPr>
          <w:ilvl w:val="1"/>
          <w:numId w:val="1"/>
        </w:numPr>
        <w:ind w:right="24" w:hanging="340"/>
      </w:pPr>
      <w:r>
        <w:t>pádem či nárazem zvířete, popřípadě poškozením částí vozidla zvířaty,</w:t>
      </w:r>
    </w:p>
    <w:p w14:paraId="2A696D0E" w14:textId="77777777" w:rsidR="00255059" w:rsidRDefault="00874B43">
      <w:pPr>
        <w:numPr>
          <w:ilvl w:val="1"/>
          <w:numId w:val="1"/>
        </w:numPr>
        <w:ind w:right="24" w:hanging="340"/>
      </w:pPr>
      <w:r>
        <w:t>odcizením (krádeží i loupeží) vozidla nebo jeho části.</w:t>
      </w:r>
    </w:p>
    <w:p w14:paraId="29898389" w14:textId="77777777" w:rsidR="00255059" w:rsidRDefault="00874B43">
      <w:pPr>
        <w:numPr>
          <w:ilvl w:val="0"/>
          <w:numId w:val="1"/>
        </w:numPr>
        <w:ind w:right="479" w:hanging="340"/>
      </w:pPr>
      <w:r>
        <w:t>Pojištění podle nebezpečí uvedených v odst. 1, písm. d) a e) je platné pouze v případě, není-li věc či zvíře ve vlastnictví nebo užívání pojištěného nebo osoby jemu blízké.</w:t>
      </w:r>
    </w:p>
    <w:p w14:paraId="1B87E342" w14:textId="77777777" w:rsidR="00255059" w:rsidRDefault="00874B43">
      <w:pPr>
        <w:numPr>
          <w:ilvl w:val="0"/>
          <w:numId w:val="1"/>
        </w:numPr>
        <w:ind w:right="479" w:hanging="340"/>
      </w:pPr>
      <w:r>
        <w:t>Není-li v pojistné smlouvě uvedeno jinak, lze v souladu s odst. 1 tohoto článku sjednat kombinace pojistných nebezpečí v těchto variantách:</w:t>
      </w:r>
    </w:p>
    <w:p w14:paraId="47260F34" w14:textId="77777777" w:rsidR="00255059" w:rsidRDefault="00874B43">
      <w:pPr>
        <w:numPr>
          <w:ilvl w:val="1"/>
          <w:numId w:val="2"/>
        </w:numPr>
        <w:ind w:right="24" w:hanging="340"/>
      </w:pPr>
      <w:r>
        <w:t>Komplet – pojistná nebezpečí uvedená pod písmeny a) až f) odstavce 1 tohoto článku,</w:t>
      </w:r>
    </w:p>
    <w:p w14:paraId="1A220886" w14:textId="77777777" w:rsidR="00255059" w:rsidRDefault="00874B43">
      <w:pPr>
        <w:numPr>
          <w:ilvl w:val="1"/>
          <w:numId w:val="2"/>
        </w:numPr>
        <w:spacing w:after="355"/>
        <w:ind w:right="24" w:hanging="340"/>
      </w:pPr>
      <w:r>
        <w:t>Odcizení – pojistná nebezpečí uvedená pod písmenem c), f) odstavce 1 tohoto článku.</w:t>
      </w:r>
    </w:p>
    <w:p w14:paraId="26ADACDC" w14:textId="77777777" w:rsidR="00255059" w:rsidRDefault="00874B43">
      <w:pPr>
        <w:pStyle w:val="Nadpis1"/>
        <w:ind w:left="-5"/>
      </w:pPr>
      <w:r>
        <w:t>Článek 2</w:t>
      </w:r>
    </w:p>
    <w:p w14:paraId="6FCD45E4" w14:textId="77777777" w:rsidR="00255059" w:rsidRDefault="00874B43">
      <w:pPr>
        <w:pStyle w:val="Nadpis2"/>
        <w:ind w:left="-5"/>
      </w:pPr>
      <w:r>
        <w:t>Územní platnost, počátek a konec pojištění</w:t>
      </w:r>
    </w:p>
    <w:p w14:paraId="30FF3118" w14:textId="77777777" w:rsidR="00255059" w:rsidRDefault="00874B43">
      <w:pPr>
        <w:numPr>
          <w:ilvl w:val="0"/>
          <w:numId w:val="3"/>
        </w:numPr>
        <w:ind w:right="24" w:hanging="340"/>
      </w:pPr>
      <w:r>
        <w:t xml:space="preserve">Územní platnost pojištění se vztahuje na Evropu v geografickém smyslu, včetně asijské části Turecka. Při přepravě vozidla po vodě se pojištění nepřerušuje, jestliže místa naložení a vyložení </w:t>
      </w:r>
      <w:proofErr w:type="gramStart"/>
      <w:r>
        <w:t>leží</w:t>
      </w:r>
      <w:proofErr w:type="gramEnd"/>
      <w:r>
        <w:t xml:space="preserve"> uvnitř územního rozsahu pojištění. Pokud místo vykládky vozidla </w:t>
      </w:r>
      <w:proofErr w:type="gramStart"/>
      <w:r>
        <w:t>leží</w:t>
      </w:r>
      <w:proofErr w:type="gramEnd"/>
      <w:r>
        <w:t xml:space="preserve"> mimo územní rozsah, pojištění končí okamžikem ukončení vykládky.</w:t>
      </w:r>
    </w:p>
    <w:p w14:paraId="490B2389" w14:textId="77777777" w:rsidR="00255059" w:rsidRDefault="00874B43">
      <w:pPr>
        <w:numPr>
          <w:ilvl w:val="0"/>
          <w:numId w:val="3"/>
        </w:numPr>
        <w:ind w:right="24" w:hanging="340"/>
      </w:pPr>
      <w:r>
        <w:t>Není-li ve smlouvě dohodnuto jinak, je pojištění platné od okamžiku sjednaného ve smlouvě za podmínek uvedených v čl. 4 UCZ/15 a čl. 6 UCZ/Voz/24.</w:t>
      </w:r>
    </w:p>
    <w:p w14:paraId="4B5F12FD" w14:textId="77777777" w:rsidR="00255059" w:rsidRDefault="00874B43">
      <w:pPr>
        <w:numPr>
          <w:ilvl w:val="0"/>
          <w:numId w:val="3"/>
        </w:numPr>
        <w:spacing w:after="357"/>
        <w:ind w:right="24" w:hanging="340"/>
      </w:pPr>
      <w:r>
        <w:t xml:space="preserve">Návazně na ustanovení </w:t>
      </w:r>
      <w:proofErr w:type="spellStart"/>
      <w:proofErr w:type="gramStart"/>
      <w:r>
        <w:t>čl</w:t>
      </w:r>
      <w:proofErr w:type="spellEnd"/>
      <w:r>
        <w:t>,.</w:t>
      </w:r>
      <w:proofErr w:type="gramEnd"/>
      <w:r>
        <w:t xml:space="preserve"> 6 odst. 6.5.1. UCZ/15 se za zánik pojištěné věci považuje i totální škoda na vozidle, pokud pojistitel nerozhodne jinak.</w:t>
      </w:r>
    </w:p>
    <w:p w14:paraId="1968540C" w14:textId="77777777" w:rsidR="00255059" w:rsidRDefault="00874B43">
      <w:pPr>
        <w:pStyle w:val="Nadpis1"/>
        <w:ind w:left="-5"/>
      </w:pPr>
      <w:r>
        <w:t>Článek 3</w:t>
      </w:r>
    </w:p>
    <w:p w14:paraId="526D058F" w14:textId="77777777" w:rsidR="00255059" w:rsidRDefault="00874B43">
      <w:pPr>
        <w:pStyle w:val="Nadpis2"/>
        <w:ind w:left="-5"/>
      </w:pPr>
      <w:r>
        <w:t>Předmět pojištění</w:t>
      </w:r>
    </w:p>
    <w:p w14:paraId="3B7B1771" w14:textId="77777777" w:rsidR="00255059" w:rsidRDefault="00874B43">
      <w:pPr>
        <w:numPr>
          <w:ilvl w:val="0"/>
          <w:numId w:val="4"/>
        </w:numPr>
        <w:spacing w:after="108"/>
        <w:ind w:right="24" w:hanging="340"/>
      </w:pPr>
      <w:r>
        <w:t>Není-li v pojistné smlouvě uvedeno jinak, je předmětem pojištění vozidlo specifikované v pojistné smlouvě, pokud je vybaveno platným českým technickým průkazem či platným Osvědčením o registraci vozidla a je mu přidělena registrační značka.</w:t>
      </w:r>
    </w:p>
    <w:p w14:paraId="7C3F1161" w14:textId="77777777" w:rsidR="00255059" w:rsidRDefault="00874B43">
      <w:pPr>
        <w:tabs>
          <w:tab w:val="center" w:pos="4278"/>
          <w:tab w:val="center" w:pos="6422"/>
        </w:tabs>
        <w:spacing w:after="27"/>
        <w:ind w:left="-15" w:right="0" w:firstLine="0"/>
      </w:pPr>
      <w:r>
        <w:t>UNIQA linka +420 488 125 125</w:t>
      </w:r>
      <w:r>
        <w:tab/>
        <w:t>e-mail: info@uniqa.cz</w:t>
      </w:r>
      <w:r>
        <w:tab/>
        <w:t>www.uniqa.cz</w:t>
      </w:r>
    </w:p>
    <w:p w14:paraId="1A8AB372" w14:textId="77777777" w:rsidR="00255059" w:rsidRDefault="00874B43">
      <w:pPr>
        <w:ind w:left="-15" w:right="103" w:firstLine="0"/>
      </w:pPr>
      <w:r>
        <w:t xml:space="preserve">UNIQA pojišťovna, a.s., se sídlem Evropská 810/136, 160 00 Praha 6, Česká republika, IČO: 492 40 </w:t>
      </w:r>
      <w:proofErr w:type="gramStart"/>
      <w:r>
        <w:t>480,  společnost</w:t>
      </w:r>
      <w:proofErr w:type="gramEnd"/>
      <w:r>
        <w:t xml:space="preserve"> je zapsána v obchodním rejstříku vedeném Městským soudem v Praze, oddíl B, vložka 2012</w:t>
      </w:r>
    </w:p>
    <w:p w14:paraId="5612E3F8" w14:textId="77777777" w:rsidR="00255059" w:rsidRDefault="00874B43">
      <w:pPr>
        <w:numPr>
          <w:ilvl w:val="0"/>
          <w:numId w:val="4"/>
        </w:numPr>
        <w:ind w:right="24" w:hanging="340"/>
      </w:pPr>
      <w:r>
        <w:t>Pojištění se vztahuje na škody vzniklé na:</w:t>
      </w:r>
    </w:p>
    <w:p w14:paraId="2DC08CD8" w14:textId="77777777" w:rsidR="00255059" w:rsidRDefault="00874B43">
      <w:pPr>
        <w:numPr>
          <w:ilvl w:val="1"/>
          <w:numId w:val="4"/>
        </w:numPr>
        <w:ind w:right="12" w:hanging="340"/>
      </w:pPr>
      <w:r>
        <w:t>vozidle a součástech k němu pevně připevněných v rozsahu základní výbavy,</w:t>
      </w:r>
    </w:p>
    <w:p w14:paraId="4EE7F596" w14:textId="77777777" w:rsidR="00255059" w:rsidRDefault="00874B43">
      <w:pPr>
        <w:numPr>
          <w:ilvl w:val="1"/>
          <w:numId w:val="4"/>
        </w:numPr>
        <w:spacing w:after="355"/>
        <w:ind w:right="12" w:hanging="340"/>
      </w:pPr>
      <w:r>
        <w:rPr>
          <w:b/>
        </w:rPr>
        <w:lastRenderedPageBreak/>
        <w:t>dodatečné výbavě a výbavě předepsané právními předpisy až do výše 5 % pojistné částky.</w:t>
      </w:r>
    </w:p>
    <w:p w14:paraId="33C56165" w14:textId="77777777" w:rsidR="00255059" w:rsidRDefault="00874B43">
      <w:pPr>
        <w:pStyle w:val="Nadpis1"/>
        <w:ind w:left="-5"/>
      </w:pPr>
      <w:r>
        <w:t>Článek 4</w:t>
      </w:r>
    </w:p>
    <w:p w14:paraId="36363ABB" w14:textId="77777777" w:rsidR="00255059" w:rsidRDefault="00874B43">
      <w:pPr>
        <w:pStyle w:val="Nadpis2"/>
        <w:ind w:left="-5"/>
      </w:pPr>
      <w:r>
        <w:t>Pojistná částka</w:t>
      </w:r>
    </w:p>
    <w:p w14:paraId="5977E602" w14:textId="77777777" w:rsidR="00255059" w:rsidRDefault="00874B43">
      <w:pPr>
        <w:numPr>
          <w:ilvl w:val="0"/>
          <w:numId w:val="5"/>
        </w:numPr>
        <w:ind w:right="249" w:hanging="340"/>
      </w:pPr>
      <w:r>
        <w:t>Pojistná částka je částka určená v pojistné smlouvě jako nejvyšší možná hranice pojistného plnění a stanoví ji na svoji odpovědnost pojistník tak, aby odpovídala pojistné hodnotě vozidla v době uzavření smlouvy, není-</w:t>
      </w:r>
      <w:proofErr w:type="gramStart"/>
      <w:r>
        <w:t>li  v</w:t>
      </w:r>
      <w:proofErr w:type="gramEnd"/>
      <w:r>
        <w:t xml:space="preserve"> pojistné smlouvě dohodnuto jinak.</w:t>
      </w:r>
    </w:p>
    <w:p w14:paraId="67BFBEE7" w14:textId="77777777" w:rsidR="00255059" w:rsidRDefault="00874B43">
      <w:pPr>
        <w:numPr>
          <w:ilvl w:val="0"/>
          <w:numId w:val="5"/>
        </w:numPr>
        <w:ind w:right="249" w:hanging="340"/>
      </w:pPr>
      <w:r>
        <w:t>Dojde-li v průběhu trvání pojistné smlouvy k výraznější změně hodnoty vozidla, provede pojistitel k nejbližšímu příštímu výročí smlouvy na základě písemné žádosti pojistníka úpravu pojistné částky, není-li ve smlouvě uvedeno jinak.</w:t>
      </w:r>
    </w:p>
    <w:p w14:paraId="420B9E80" w14:textId="77777777" w:rsidR="00255059" w:rsidRDefault="00874B43">
      <w:pPr>
        <w:numPr>
          <w:ilvl w:val="0"/>
          <w:numId w:val="5"/>
        </w:numPr>
        <w:spacing w:after="357"/>
        <w:ind w:right="249" w:hanging="340"/>
      </w:pPr>
      <w:r>
        <w:t>Pojištění vozidel podle těchto pojistných podmínek je ve smyslu podmínek UCZ/15 – obecná část pojištěním na novou cenu s tím, že ve výpočtu pojistného musí být započten koeficient korekce pojistné částky. Pokud při výpočtu pojistného koeficient korekce pojistné částky uplatněn není, je pojistitel oprávněn postupovat podle čl. 6, odst. 15 těchto podmínek.</w:t>
      </w:r>
    </w:p>
    <w:p w14:paraId="52CC74A2" w14:textId="77777777" w:rsidR="00255059" w:rsidRDefault="00874B43">
      <w:pPr>
        <w:pStyle w:val="Nadpis1"/>
        <w:ind w:left="-5"/>
      </w:pPr>
      <w:r>
        <w:t>Článek 5</w:t>
      </w:r>
    </w:p>
    <w:p w14:paraId="08A3466B" w14:textId="77777777" w:rsidR="00255059" w:rsidRDefault="00874B43">
      <w:pPr>
        <w:pStyle w:val="Nadpis2"/>
        <w:ind w:left="-5"/>
      </w:pPr>
      <w:r>
        <w:t>Pojistné, Bonus – Malus</w:t>
      </w:r>
    </w:p>
    <w:p w14:paraId="7AD128FF" w14:textId="77777777" w:rsidR="00255059" w:rsidRDefault="00874B43">
      <w:pPr>
        <w:numPr>
          <w:ilvl w:val="0"/>
          <w:numId w:val="6"/>
        </w:numPr>
        <w:ind w:right="24" w:hanging="340"/>
      </w:pPr>
      <w:r>
        <w:t>Výše pojistného se stanoví sazbou z pojistné částky vozidla. Sazbu v závislosti na pojistně technických parametrech určuje pojistitel.</w:t>
      </w:r>
    </w:p>
    <w:p w14:paraId="451EAC55" w14:textId="77777777" w:rsidR="00255059" w:rsidRDefault="00874B43">
      <w:pPr>
        <w:numPr>
          <w:ilvl w:val="0"/>
          <w:numId w:val="6"/>
        </w:numPr>
        <w:ind w:right="24" w:hanging="340"/>
      </w:pPr>
      <w:r>
        <w:rPr>
          <w:b/>
        </w:rPr>
        <w:t>Čl. 5, odst. 5.5. UCZ/15 se doplňuje tak, že pojistitel je oprávněn upravit výši pojistného v případech:</w:t>
      </w:r>
    </w:p>
    <w:p w14:paraId="44C60FB9" w14:textId="77777777" w:rsidR="00255059" w:rsidRDefault="00874B43">
      <w:pPr>
        <w:numPr>
          <w:ilvl w:val="1"/>
          <w:numId w:val="6"/>
        </w:numPr>
        <w:ind w:right="0" w:hanging="340"/>
      </w:pPr>
      <w:r>
        <w:rPr>
          <w:b/>
        </w:rPr>
        <w:t>kdy dojde ke změně právních předpisů majících vliv na plnění pojistitele nebo na jeho odvodové povinnosti vůči státu či jeho organizačním složkám nebo</w:t>
      </w:r>
    </w:p>
    <w:p w14:paraId="7D55F3AF" w14:textId="77777777" w:rsidR="00255059" w:rsidRDefault="00874B43">
      <w:pPr>
        <w:numPr>
          <w:ilvl w:val="1"/>
          <w:numId w:val="6"/>
        </w:numPr>
        <w:ind w:right="0" w:hanging="340"/>
      </w:pPr>
      <w:r>
        <w:rPr>
          <w:b/>
        </w:rPr>
        <w:t>kdy z pohledu pojistné matematiky dojde z jiných důvodů k ohrožení splnitelnosti závazků pojistitele nebo</w:t>
      </w:r>
    </w:p>
    <w:p w14:paraId="65728BB7" w14:textId="77777777" w:rsidR="00255059" w:rsidRDefault="00874B43">
      <w:pPr>
        <w:numPr>
          <w:ilvl w:val="1"/>
          <w:numId w:val="6"/>
        </w:numPr>
        <w:ind w:right="0" w:hanging="340"/>
      </w:pPr>
      <w:r>
        <w:rPr>
          <w:b/>
        </w:rPr>
        <w:t>kdy dojde ke změně indexů vývoje cen pojištěných věcí, případně cen prací na jejich reprodukci, jež zveřejňuje Český statistický úřad, pokud za sledované období tento růst činí více než 5 %.</w:t>
      </w:r>
    </w:p>
    <w:p w14:paraId="7666D128" w14:textId="77777777" w:rsidR="00255059" w:rsidRDefault="00874B43">
      <w:pPr>
        <w:numPr>
          <w:ilvl w:val="0"/>
          <w:numId w:val="6"/>
        </w:numPr>
        <w:ind w:right="24" w:hanging="340"/>
      </w:pPr>
      <w:r>
        <w:t>Není-li v pojistné smlouvě stanoveno jinak, pojistné za KASKO pojištění je upravováno systémem Bonus – Malus:</w:t>
      </w:r>
    </w:p>
    <w:p w14:paraId="6172D807" w14:textId="77777777" w:rsidR="00255059" w:rsidRDefault="00874B43">
      <w:pPr>
        <w:numPr>
          <w:ilvl w:val="1"/>
          <w:numId w:val="8"/>
        </w:numPr>
        <w:ind w:right="24" w:hanging="340"/>
      </w:pPr>
      <w:r>
        <w:t>Bonus je sleva ze základního pojistného za bezeškodní průběh,</w:t>
      </w:r>
    </w:p>
    <w:p w14:paraId="0DD65EFC" w14:textId="77777777" w:rsidR="00255059" w:rsidRDefault="00874B43">
      <w:pPr>
        <w:numPr>
          <w:ilvl w:val="1"/>
          <w:numId w:val="8"/>
        </w:numPr>
        <w:ind w:right="24" w:hanging="340"/>
      </w:pPr>
      <w:r>
        <w:t>Malus je přirážka k základnímu pojistnému v závislosti na počtu pojistných událostí.</w:t>
      </w:r>
    </w:p>
    <w:p w14:paraId="7406A63C" w14:textId="77777777" w:rsidR="00255059" w:rsidRDefault="00874B43">
      <w:pPr>
        <w:numPr>
          <w:ilvl w:val="0"/>
          <w:numId w:val="6"/>
        </w:numPr>
        <w:ind w:right="24" w:hanging="340"/>
      </w:pPr>
      <w:r>
        <w:t>Pro přiznání Bonusu nebo uplatnění Malusu je rozhodující škodní průběh v předchozím období, jehož výsledkem je bezeškodní doba. Bezeškodní doba se udává v měsících a v návaznosti na škodní průběh může nabývat kladných i záporných hodnot.</w:t>
      </w:r>
    </w:p>
    <w:tbl>
      <w:tblPr>
        <w:tblStyle w:val="TableGrid"/>
        <w:tblW w:w="10035" w:type="dxa"/>
        <w:tblInd w:w="340" w:type="dxa"/>
        <w:tblCellMar>
          <w:top w:w="85" w:type="dxa"/>
          <w:left w:w="0" w:type="dxa"/>
          <w:bottom w:w="0" w:type="dxa"/>
          <w:right w:w="30" w:type="dxa"/>
        </w:tblCellMar>
        <w:tblLook w:val="04A0" w:firstRow="1" w:lastRow="0" w:firstColumn="1" w:lastColumn="0" w:noHBand="0" w:noVBand="1"/>
      </w:tblPr>
      <w:tblGrid>
        <w:gridCol w:w="7407"/>
        <w:gridCol w:w="1380"/>
        <w:gridCol w:w="1248"/>
      </w:tblGrid>
      <w:tr w:rsidR="00255059" w14:paraId="5435CEDF" w14:textId="77777777">
        <w:trPr>
          <w:trHeight w:val="556"/>
        </w:trPr>
        <w:tc>
          <w:tcPr>
            <w:tcW w:w="7407" w:type="dxa"/>
            <w:tcBorders>
              <w:top w:val="nil"/>
              <w:left w:val="nil"/>
              <w:bottom w:val="nil"/>
              <w:right w:val="nil"/>
            </w:tcBorders>
            <w:shd w:val="clear" w:color="auto" w:fill="005CA9"/>
            <w:vAlign w:val="center"/>
          </w:tcPr>
          <w:p w14:paraId="3E2450F2" w14:textId="77777777" w:rsidR="00255059" w:rsidRDefault="00874B43">
            <w:pPr>
              <w:spacing w:after="0"/>
              <w:ind w:left="85" w:right="0" w:firstLine="0"/>
            </w:pPr>
            <w:r>
              <w:rPr>
                <w:b/>
                <w:color w:val="FFFFFF"/>
              </w:rPr>
              <w:t>Bezeškodní doba v měsících</w:t>
            </w:r>
          </w:p>
        </w:tc>
        <w:tc>
          <w:tcPr>
            <w:tcW w:w="1380" w:type="dxa"/>
            <w:tcBorders>
              <w:top w:val="nil"/>
              <w:left w:val="nil"/>
              <w:bottom w:val="nil"/>
              <w:right w:val="nil"/>
            </w:tcBorders>
            <w:shd w:val="clear" w:color="auto" w:fill="005CA9"/>
            <w:vAlign w:val="center"/>
          </w:tcPr>
          <w:p w14:paraId="12422537" w14:textId="77777777" w:rsidR="00255059" w:rsidRDefault="00874B43">
            <w:pPr>
              <w:spacing w:after="0"/>
              <w:ind w:left="0" w:right="0" w:firstLine="0"/>
            </w:pPr>
            <w:r>
              <w:rPr>
                <w:b/>
                <w:color w:val="FFFFFF"/>
              </w:rPr>
              <w:t>Třída</w:t>
            </w:r>
          </w:p>
        </w:tc>
        <w:tc>
          <w:tcPr>
            <w:tcW w:w="1248" w:type="dxa"/>
            <w:tcBorders>
              <w:top w:val="nil"/>
              <w:left w:val="nil"/>
              <w:bottom w:val="nil"/>
              <w:right w:val="nil"/>
            </w:tcBorders>
            <w:shd w:val="clear" w:color="auto" w:fill="005CA9"/>
          </w:tcPr>
          <w:p w14:paraId="0E9A6588" w14:textId="77777777" w:rsidR="00255059" w:rsidRDefault="00874B43">
            <w:pPr>
              <w:spacing w:after="0"/>
              <w:ind w:left="0" w:right="0" w:firstLine="933"/>
              <w:jc w:val="both"/>
            </w:pPr>
            <w:r>
              <w:rPr>
                <w:b/>
                <w:color w:val="FFFFFF"/>
              </w:rPr>
              <w:t xml:space="preserve"> % z pojistného</w:t>
            </w:r>
          </w:p>
        </w:tc>
      </w:tr>
      <w:tr w:rsidR="00255059" w14:paraId="7B7DBE7B" w14:textId="77777777">
        <w:trPr>
          <w:trHeight w:val="316"/>
        </w:trPr>
        <w:tc>
          <w:tcPr>
            <w:tcW w:w="7407" w:type="dxa"/>
            <w:tcBorders>
              <w:top w:val="nil"/>
              <w:left w:val="nil"/>
              <w:bottom w:val="single" w:sz="2" w:space="0" w:color="005CA9"/>
              <w:right w:val="nil"/>
            </w:tcBorders>
          </w:tcPr>
          <w:p w14:paraId="2F4E3141" w14:textId="77777777" w:rsidR="00255059" w:rsidRDefault="00874B43">
            <w:pPr>
              <w:spacing w:after="0"/>
              <w:ind w:left="85" w:right="0" w:firstLine="0"/>
            </w:pPr>
            <w:r>
              <w:t>120 až 132 a více</w:t>
            </w:r>
          </w:p>
        </w:tc>
        <w:tc>
          <w:tcPr>
            <w:tcW w:w="1380" w:type="dxa"/>
            <w:tcBorders>
              <w:top w:val="nil"/>
              <w:left w:val="nil"/>
              <w:bottom w:val="single" w:sz="2" w:space="0" w:color="005CA9"/>
              <w:right w:val="nil"/>
            </w:tcBorders>
          </w:tcPr>
          <w:p w14:paraId="65C46832" w14:textId="77777777" w:rsidR="00255059" w:rsidRDefault="00874B43">
            <w:pPr>
              <w:spacing w:after="0"/>
              <w:ind w:left="47" w:right="0" w:firstLine="0"/>
            </w:pPr>
            <w:r>
              <w:t>B 10</w:t>
            </w:r>
          </w:p>
        </w:tc>
        <w:tc>
          <w:tcPr>
            <w:tcW w:w="1248" w:type="dxa"/>
            <w:tcBorders>
              <w:top w:val="nil"/>
              <w:left w:val="nil"/>
              <w:bottom w:val="single" w:sz="2" w:space="0" w:color="005CA9"/>
              <w:right w:val="nil"/>
            </w:tcBorders>
          </w:tcPr>
          <w:p w14:paraId="3ADE4159" w14:textId="77777777" w:rsidR="00255059" w:rsidRDefault="00874B43">
            <w:pPr>
              <w:spacing w:after="0"/>
              <w:ind w:left="0" w:right="55" w:firstLine="0"/>
              <w:jc w:val="right"/>
            </w:pPr>
            <w:r>
              <w:t>50 %</w:t>
            </w:r>
          </w:p>
        </w:tc>
      </w:tr>
      <w:tr w:rsidR="00255059" w14:paraId="347D7314" w14:textId="77777777">
        <w:trPr>
          <w:trHeight w:val="316"/>
        </w:trPr>
        <w:tc>
          <w:tcPr>
            <w:tcW w:w="7407" w:type="dxa"/>
            <w:tcBorders>
              <w:top w:val="single" w:sz="2" w:space="0" w:color="005CA9"/>
              <w:left w:val="nil"/>
              <w:bottom w:val="single" w:sz="2" w:space="0" w:color="005CA9"/>
              <w:right w:val="nil"/>
            </w:tcBorders>
          </w:tcPr>
          <w:p w14:paraId="22017C02" w14:textId="77777777" w:rsidR="00255059" w:rsidRDefault="00874B43">
            <w:pPr>
              <w:spacing w:after="0"/>
              <w:ind w:left="85" w:right="0" w:firstLine="0"/>
            </w:pPr>
            <w:r>
              <w:t>108 až 124</w:t>
            </w:r>
          </w:p>
        </w:tc>
        <w:tc>
          <w:tcPr>
            <w:tcW w:w="1380" w:type="dxa"/>
            <w:tcBorders>
              <w:top w:val="single" w:sz="2" w:space="0" w:color="005CA9"/>
              <w:left w:val="nil"/>
              <w:bottom w:val="single" w:sz="2" w:space="0" w:color="005CA9"/>
              <w:right w:val="nil"/>
            </w:tcBorders>
          </w:tcPr>
          <w:p w14:paraId="2DFF0E01" w14:textId="77777777" w:rsidR="00255059" w:rsidRDefault="00874B43">
            <w:pPr>
              <w:spacing w:after="0"/>
              <w:ind w:left="99" w:right="0" w:firstLine="0"/>
            </w:pPr>
            <w:r>
              <w:t>B 9</w:t>
            </w:r>
          </w:p>
        </w:tc>
        <w:tc>
          <w:tcPr>
            <w:tcW w:w="1248" w:type="dxa"/>
            <w:tcBorders>
              <w:top w:val="single" w:sz="2" w:space="0" w:color="005CA9"/>
              <w:left w:val="nil"/>
              <w:bottom w:val="single" w:sz="2" w:space="0" w:color="005CA9"/>
              <w:right w:val="nil"/>
            </w:tcBorders>
          </w:tcPr>
          <w:p w14:paraId="2CC8F576" w14:textId="77777777" w:rsidR="00255059" w:rsidRDefault="00874B43">
            <w:pPr>
              <w:spacing w:after="0"/>
              <w:ind w:left="0" w:right="55" w:firstLine="0"/>
              <w:jc w:val="right"/>
            </w:pPr>
            <w:r>
              <w:t>55 %</w:t>
            </w:r>
          </w:p>
        </w:tc>
      </w:tr>
      <w:tr w:rsidR="00255059" w14:paraId="349B7D2E" w14:textId="77777777">
        <w:trPr>
          <w:trHeight w:val="316"/>
        </w:trPr>
        <w:tc>
          <w:tcPr>
            <w:tcW w:w="7407" w:type="dxa"/>
            <w:tcBorders>
              <w:top w:val="single" w:sz="2" w:space="0" w:color="005CA9"/>
              <w:left w:val="nil"/>
              <w:bottom w:val="single" w:sz="2" w:space="0" w:color="005CA9"/>
              <w:right w:val="nil"/>
            </w:tcBorders>
          </w:tcPr>
          <w:p w14:paraId="4BB49D7B" w14:textId="77777777" w:rsidR="00255059" w:rsidRDefault="00874B43">
            <w:pPr>
              <w:spacing w:after="0"/>
              <w:ind w:left="85" w:right="0" w:firstLine="0"/>
            </w:pPr>
            <w:r>
              <w:t>96 až 107</w:t>
            </w:r>
          </w:p>
        </w:tc>
        <w:tc>
          <w:tcPr>
            <w:tcW w:w="1380" w:type="dxa"/>
            <w:tcBorders>
              <w:top w:val="single" w:sz="2" w:space="0" w:color="005CA9"/>
              <w:left w:val="nil"/>
              <w:bottom w:val="single" w:sz="2" w:space="0" w:color="005CA9"/>
              <w:right w:val="nil"/>
            </w:tcBorders>
          </w:tcPr>
          <w:p w14:paraId="6B0A6201" w14:textId="77777777" w:rsidR="00255059" w:rsidRDefault="00874B43">
            <w:pPr>
              <w:spacing w:after="0"/>
              <w:ind w:left="99" w:right="0" w:firstLine="0"/>
            </w:pPr>
            <w:r>
              <w:t>B 8</w:t>
            </w:r>
          </w:p>
        </w:tc>
        <w:tc>
          <w:tcPr>
            <w:tcW w:w="1248" w:type="dxa"/>
            <w:tcBorders>
              <w:top w:val="single" w:sz="2" w:space="0" w:color="005CA9"/>
              <w:left w:val="nil"/>
              <w:bottom w:val="single" w:sz="2" w:space="0" w:color="005CA9"/>
              <w:right w:val="nil"/>
            </w:tcBorders>
          </w:tcPr>
          <w:p w14:paraId="085EB6E7" w14:textId="77777777" w:rsidR="00255059" w:rsidRDefault="00874B43">
            <w:pPr>
              <w:spacing w:after="0"/>
              <w:ind w:left="0" w:right="55" w:firstLine="0"/>
              <w:jc w:val="right"/>
            </w:pPr>
            <w:r>
              <w:t>60 %</w:t>
            </w:r>
          </w:p>
        </w:tc>
      </w:tr>
      <w:tr w:rsidR="00255059" w14:paraId="77C6AF0C" w14:textId="77777777">
        <w:trPr>
          <w:trHeight w:val="316"/>
        </w:trPr>
        <w:tc>
          <w:tcPr>
            <w:tcW w:w="7407" w:type="dxa"/>
            <w:tcBorders>
              <w:top w:val="single" w:sz="2" w:space="0" w:color="005CA9"/>
              <w:left w:val="nil"/>
              <w:bottom w:val="single" w:sz="2" w:space="0" w:color="005CA9"/>
              <w:right w:val="nil"/>
            </w:tcBorders>
          </w:tcPr>
          <w:p w14:paraId="4C1E2F91" w14:textId="77777777" w:rsidR="00255059" w:rsidRDefault="00874B43">
            <w:pPr>
              <w:spacing w:after="0"/>
              <w:ind w:left="85" w:right="0" w:firstLine="0"/>
            </w:pPr>
            <w:r>
              <w:t>84 až 95</w:t>
            </w:r>
          </w:p>
        </w:tc>
        <w:tc>
          <w:tcPr>
            <w:tcW w:w="1380" w:type="dxa"/>
            <w:tcBorders>
              <w:top w:val="single" w:sz="2" w:space="0" w:color="005CA9"/>
              <w:left w:val="nil"/>
              <w:bottom w:val="single" w:sz="2" w:space="0" w:color="005CA9"/>
              <w:right w:val="nil"/>
            </w:tcBorders>
          </w:tcPr>
          <w:p w14:paraId="3D13B00F" w14:textId="77777777" w:rsidR="00255059" w:rsidRDefault="00874B43">
            <w:pPr>
              <w:spacing w:after="0"/>
              <w:ind w:left="99" w:right="0" w:firstLine="0"/>
            </w:pPr>
            <w:r>
              <w:t>B 7</w:t>
            </w:r>
          </w:p>
        </w:tc>
        <w:tc>
          <w:tcPr>
            <w:tcW w:w="1248" w:type="dxa"/>
            <w:tcBorders>
              <w:top w:val="single" w:sz="2" w:space="0" w:color="005CA9"/>
              <w:left w:val="nil"/>
              <w:bottom w:val="single" w:sz="2" w:space="0" w:color="005CA9"/>
              <w:right w:val="nil"/>
            </w:tcBorders>
          </w:tcPr>
          <w:p w14:paraId="3755F5E2" w14:textId="77777777" w:rsidR="00255059" w:rsidRDefault="00874B43">
            <w:pPr>
              <w:spacing w:after="0"/>
              <w:ind w:left="0" w:right="55" w:firstLine="0"/>
              <w:jc w:val="right"/>
            </w:pPr>
            <w:r>
              <w:t>65 %</w:t>
            </w:r>
          </w:p>
        </w:tc>
      </w:tr>
      <w:tr w:rsidR="00255059" w14:paraId="7E3809AC" w14:textId="77777777">
        <w:trPr>
          <w:trHeight w:val="316"/>
        </w:trPr>
        <w:tc>
          <w:tcPr>
            <w:tcW w:w="7407" w:type="dxa"/>
            <w:tcBorders>
              <w:top w:val="single" w:sz="2" w:space="0" w:color="005CA9"/>
              <w:left w:val="nil"/>
              <w:bottom w:val="single" w:sz="2" w:space="0" w:color="005CA9"/>
              <w:right w:val="nil"/>
            </w:tcBorders>
          </w:tcPr>
          <w:p w14:paraId="1C36584C" w14:textId="77777777" w:rsidR="00255059" w:rsidRDefault="00874B43">
            <w:pPr>
              <w:spacing w:after="0"/>
              <w:ind w:left="85" w:right="0" w:firstLine="0"/>
            </w:pPr>
            <w:r>
              <w:t>72 až 83</w:t>
            </w:r>
          </w:p>
        </w:tc>
        <w:tc>
          <w:tcPr>
            <w:tcW w:w="1380" w:type="dxa"/>
            <w:tcBorders>
              <w:top w:val="single" w:sz="2" w:space="0" w:color="005CA9"/>
              <w:left w:val="nil"/>
              <w:bottom w:val="single" w:sz="2" w:space="0" w:color="005CA9"/>
              <w:right w:val="nil"/>
            </w:tcBorders>
          </w:tcPr>
          <w:p w14:paraId="6BE615AD" w14:textId="77777777" w:rsidR="00255059" w:rsidRDefault="00874B43">
            <w:pPr>
              <w:spacing w:after="0"/>
              <w:ind w:left="99" w:right="0" w:firstLine="0"/>
            </w:pPr>
            <w:r>
              <w:t>B 6</w:t>
            </w:r>
          </w:p>
        </w:tc>
        <w:tc>
          <w:tcPr>
            <w:tcW w:w="1248" w:type="dxa"/>
            <w:tcBorders>
              <w:top w:val="single" w:sz="2" w:space="0" w:color="005CA9"/>
              <w:left w:val="nil"/>
              <w:bottom w:val="single" w:sz="2" w:space="0" w:color="005CA9"/>
              <w:right w:val="nil"/>
            </w:tcBorders>
          </w:tcPr>
          <w:p w14:paraId="74DA8548" w14:textId="77777777" w:rsidR="00255059" w:rsidRDefault="00874B43">
            <w:pPr>
              <w:spacing w:after="0"/>
              <w:ind w:left="0" w:right="55" w:firstLine="0"/>
              <w:jc w:val="right"/>
            </w:pPr>
            <w:r>
              <w:t>70 %</w:t>
            </w:r>
          </w:p>
        </w:tc>
      </w:tr>
      <w:tr w:rsidR="00255059" w14:paraId="4DF0D7D1" w14:textId="77777777">
        <w:trPr>
          <w:trHeight w:val="316"/>
        </w:trPr>
        <w:tc>
          <w:tcPr>
            <w:tcW w:w="7407" w:type="dxa"/>
            <w:tcBorders>
              <w:top w:val="single" w:sz="2" w:space="0" w:color="005CA9"/>
              <w:left w:val="nil"/>
              <w:bottom w:val="single" w:sz="2" w:space="0" w:color="005CA9"/>
              <w:right w:val="nil"/>
            </w:tcBorders>
          </w:tcPr>
          <w:p w14:paraId="46D808B1" w14:textId="77777777" w:rsidR="00255059" w:rsidRDefault="00874B43">
            <w:pPr>
              <w:spacing w:after="0"/>
              <w:ind w:left="85" w:right="0" w:firstLine="0"/>
            </w:pPr>
            <w:r>
              <w:t>60 až 71</w:t>
            </w:r>
          </w:p>
        </w:tc>
        <w:tc>
          <w:tcPr>
            <w:tcW w:w="1380" w:type="dxa"/>
            <w:tcBorders>
              <w:top w:val="single" w:sz="2" w:space="0" w:color="005CA9"/>
              <w:left w:val="nil"/>
              <w:bottom w:val="single" w:sz="2" w:space="0" w:color="005CA9"/>
              <w:right w:val="nil"/>
            </w:tcBorders>
          </w:tcPr>
          <w:p w14:paraId="68D235DB" w14:textId="77777777" w:rsidR="00255059" w:rsidRDefault="00874B43">
            <w:pPr>
              <w:spacing w:after="0"/>
              <w:ind w:left="99" w:right="0" w:firstLine="0"/>
            </w:pPr>
            <w:r>
              <w:t>B 5</w:t>
            </w:r>
          </w:p>
        </w:tc>
        <w:tc>
          <w:tcPr>
            <w:tcW w:w="1248" w:type="dxa"/>
            <w:tcBorders>
              <w:top w:val="single" w:sz="2" w:space="0" w:color="005CA9"/>
              <w:left w:val="nil"/>
              <w:bottom w:val="single" w:sz="2" w:space="0" w:color="005CA9"/>
              <w:right w:val="nil"/>
            </w:tcBorders>
          </w:tcPr>
          <w:p w14:paraId="6368FE4E" w14:textId="77777777" w:rsidR="00255059" w:rsidRDefault="00874B43">
            <w:pPr>
              <w:spacing w:after="0"/>
              <w:ind w:left="0" w:right="55" w:firstLine="0"/>
              <w:jc w:val="right"/>
            </w:pPr>
            <w:r>
              <w:t>75 %</w:t>
            </w:r>
          </w:p>
        </w:tc>
      </w:tr>
      <w:tr w:rsidR="00255059" w14:paraId="1DE62E3A" w14:textId="77777777">
        <w:trPr>
          <w:trHeight w:val="316"/>
        </w:trPr>
        <w:tc>
          <w:tcPr>
            <w:tcW w:w="7407" w:type="dxa"/>
            <w:tcBorders>
              <w:top w:val="single" w:sz="2" w:space="0" w:color="005CA9"/>
              <w:left w:val="nil"/>
              <w:bottom w:val="single" w:sz="2" w:space="0" w:color="005CA9"/>
              <w:right w:val="nil"/>
            </w:tcBorders>
          </w:tcPr>
          <w:p w14:paraId="2B9452D4" w14:textId="77777777" w:rsidR="00255059" w:rsidRDefault="00874B43">
            <w:pPr>
              <w:spacing w:after="0"/>
              <w:ind w:left="85" w:right="0" w:firstLine="0"/>
            </w:pPr>
            <w:r>
              <w:t>48 až 59</w:t>
            </w:r>
          </w:p>
        </w:tc>
        <w:tc>
          <w:tcPr>
            <w:tcW w:w="1380" w:type="dxa"/>
            <w:tcBorders>
              <w:top w:val="single" w:sz="2" w:space="0" w:color="005CA9"/>
              <w:left w:val="nil"/>
              <w:bottom w:val="single" w:sz="2" w:space="0" w:color="005CA9"/>
              <w:right w:val="nil"/>
            </w:tcBorders>
          </w:tcPr>
          <w:p w14:paraId="743A6A0D" w14:textId="77777777" w:rsidR="00255059" w:rsidRDefault="00874B43">
            <w:pPr>
              <w:spacing w:after="0"/>
              <w:ind w:left="99" w:right="0" w:firstLine="0"/>
            </w:pPr>
            <w:r>
              <w:t>B 4</w:t>
            </w:r>
          </w:p>
        </w:tc>
        <w:tc>
          <w:tcPr>
            <w:tcW w:w="1248" w:type="dxa"/>
            <w:tcBorders>
              <w:top w:val="single" w:sz="2" w:space="0" w:color="005CA9"/>
              <w:left w:val="nil"/>
              <w:bottom w:val="single" w:sz="2" w:space="0" w:color="005CA9"/>
              <w:right w:val="nil"/>
            </w:tcBorders>
          </w:tcPr>
          <w:p w14:paraId="0003692A" w14:textId="77777777" w:rsidR="00255059" w:rsidRDefault="00874B43">
            <w:pPr>
              <w:spacing w:after="0"/>
              <w:ind w:left="0" w:right="55" w:firstLine="0"/>
              <w:jc w:val="right"/>
            </w:pPr>
            <w:r>
              <w:t>80 %</w:t>
            </w:r>
          </w:p>
        </w:tc>
      </w:tr>
      <w:tr w:rsidR="00255059" w14:paraId="30CD37B5" w14:textId="77777777">
        <w:trPr>
          <w:trHeight w:val="316"/>
        </w:trPr>
        <w:tc>
          <w:tcPr>
            <w:tcW w:w="7407" w:type="dxa"/>
            <w:tcBorders>
              <w:top w:val="single" w:sz="2" w:space="0" w:color="005CA9"/>
              <w:left w:val="nil"/>
              <w:bottom w:val="single" w:sz="2" w:space="0" w:color="005CA9"/>
              <w:right w:val="nil"/>
            </w:tcBorders>
          </w:tcPr>
          <w:p w14:paraId="228822DE" w14:textId="77777777" w:rsidR="00255059" w:rsidRDefault="00874B43">
            <w:pPr>
              <w:spacing w:after="0"/>
              <w:ind w:left="85" w:right="0" w:firstLine="0"/>
            </w:pPr>
            <w:r>
              <w:t>36 až 47</w:t>
            </w:r>
          </w:p>
        </w:tc>
        <w:tc>
          <w:tcPr>
            <w:tcW w:w="1380" w:type="dxa"/>
            <w:tcBorders>
              <w:top w:val="single" w:sz="2" w:space="0" w:color="005CA9"/>
              <w:left w:val="nil"/>
              <w:bottom w:val="single" w:sz="2" w:space="0" w:color="005CA9"/>
              <w:right w:val="nil"/>
            </w:tcBorders>
          </w:tcPr>
          <w:p w14:paraId="5BAE5E00" w14:textId="77777777" w:rsidR="00255059" w:rsidRDefault="00874B43">
            <w:pPr>
              <w:spacing w:after="0"/>
              <w:ind w:left="99" w:right="0" w:firstLine="0"/>
            </w:pPr>
            <w:r>
              <w:t>B 3</w:t>
            </w:r>
          </w:p>
        </w:tc>
        <w:tc>
          <w:tcPr>
            <w:tcW w:w="1248" w:type="dxa"/>
            <w:tcBorders>
              <w:top w:val="single" w:sz="2" w:space="0" w:color="005CA9"/>
              <w:left w:val="nil"/>
              <w:bottom w:val="single" w:sz="2" w:space="0" w:color="005CA9"/>
              <w:right w:val="nil"/>
            </w:tcBorders>
          </w:tcPr>
          <w:p w14:paraId="4B5902CC" w14:textId="77777777" w:rsidR="00255059" w:rsidRDefault="00874B43">
            <w:pPr>
              <w:spacing w:after="0"/>
              <w:ind w:left="0" w:right="55" w:firstLine="0"/>
              <w:jc w:val="right"/>
            </w:pPr>
            <w:r>
              <w:t>85 %</w:t>
            </w:r>
          </w:p>
        </w:tc>
      </w:tr>
      <w:tr w:rsidR="00255059" w14:paraId="24DC718A" w14:textId="77777777">
        <w:trPr>
          <w:trHeight w:val="316"/>
        </w:trPr>
        <w:tc>
          <w:tcPr>
            <w:tcW w:w="7407" w:type="dxa"/>
            <w:tcBorders>
              <w:top w:val="single" w:sz="2" w:space="0" w:color="005CA9"/>
              <w:left w:val="nil"/>
              <w:bottom w:val="single" w:sz="2" w:space="0" w:color="005CA9"/>
              <w:right w:val="nil"/>
            </w:tcBorders>
          </w:tcPr>
          <w:p w14:paraId="4BDEEE4C" w14:textId="77777777" w:rsidR="00255059" w:rsidRDefault="00874B43">
            <w:pPr>
              <w:spacing w:after="0"/>
              <w:ind w:left="85" w:right="0" w:firstLine="0"/>
            </w:pPr>
            <w:r>
              <w:t>24 až 35</w:t>
            </w:r>
          </w:p>
        </w:tc>
        <w:tc>
          <w:tcPr>
            <w:tcW w:w="1380" w:type="dxa"/>
            <w:tcBorders>
              <w:top w:val="single" w:sz="2" w:space="0" w:color="005CA9"/>
              <w:left w:val="nil"/>
              <w:bottom w:val="single" w:sz="2" w:space="0" w:color="005CA9"/>
              <w:right w:val="nil"/>
            </w:tcBorders>
          </w:tcPr>
          <w:p w14:paraId="4268C7C1" w14:textId="77777777" w:rsidR="00255059" w:rsidRDefault="00874B43">
            <w:pPr>
              <w:spacing w:after="0"/>
              <w:ind w:left="99" w:right="0" w:firstLine="0"/>
            </w:pPr>
            <w:r>
              <w:t>B 2</w:t>
            </w:r>
          </w:p>
        </w:tc>
        <w:tc>
          <w:tcPr>
            <w:tcW w:w="1248" w:type="dxa"/>
            <w:tcBorders>
              <w:top w:val="single" w:sz="2" w:space="0" w:color="005CA9"/>
              <w:left w:val="nil"/>
              <w:bottom w:val="single" w:sz="2" w:space="0" w:color="005CA9"/>
              <w:right w:val="nil"/>
            </w:tcBorders>
          </w:tcPr>
          <w:p w14:paraId="48C41167" w14:textId="77777777" w:rsidR="00255059" w:rsidRDefault="00874B43">
            <w:pPr>
              <w:spacing w:after="0"/>
              <w:ind w:left="0" w:right="55" w:firstLine="0"/>
              <w:jc w:val="right"/>
            </w:pPr>
            <w:r>
              <w:t>90 %</w:t>
            </w:r>
          </w:p>
        </w:tc>
      </w:tr>
      <w:tr w:rsidR="00255059" w14:paraId="63906868" w14:textId="77777777">
        <w:trPr>
          <w:trHeight w:val="316"/>
        </w:trPr>
        <w:tc>
          <w:tcPr>
            <w:tcW w:w="7407" w:type="dxa"/>
            <w:tcBorders>
              <w:top w:val="single" w:sz="2" w:space="0" w:color="005CA9"/>
              <w:left w:val="nil"/>
              <w:bottom w:val="single" w:sz="2" w:space="0" w:color="005CA9"/>
              <w:right w:val="nil"/>
            </w:tcBorders>
          </w:tcPr>
          <w:p w14:paraId="37FC7BCC" w14:textId="77777777" w:rsidR="00255059" w:rsidRDefault="00874B43">
            <w:pPr>
              <w:spacing w:after="0"/>
              <w:ind w:left="85" w:right="0" w:firstLine="0"/>
            </w:pPr>
            <w:r>
              <w:t>12 až 23</w:t>
            </w:r>
          </w:p>
        </w:tc>
        <w:tc>
          <w:tcPr>
            <w:tcW w:w="1380" w:type="dxa"/>
            <w:tcBorders>
              <w:top w:val="single" w:sz="2" w:space="0" w:color="005CA9"/>
              <w:left w:val="nil"/>
              <w:bottom w:val="single" w:sz="2" w:space="0" w:color="005CA9"/>
              <w:right w:val="nil"/>
            </w:tcBorders>
          </w:tcPr>
          <w:p w14:paraId="6C261194" w14:textId="77777777" w:rsidR="00255059" w:rsidRDefault="00874B43">
            <w:pPr>
              <w:spacing w:after="0"/>
              <w:ind w:left="99" w:right="0" w:firstLine="0"/>
            </w:pPr>
            <w:r>
              <w:t>B 1</w:t>
            </w:r>
          </w:p>
        </w:tc>
        <w:tc>
          <w:tcPr>
            <w:tcW w:w="1248" w:type="dxa"/>
            <w:tcBorders>
              <w:top w:val="single" w:sz="2" w:space="0" w:color="005CA9"/>
              <w:left w:val="nil"/>
              <w:bottom w:val="single" w:sz="2" w:space="0" w:color="005CA9"/>
              <w:right w:val="nil"/>
            </w:tcBorders>
          </w:tcPr>
          <w:p w14:paraId="0B7D5E1E" w14:textId="77777777" w:rsidR="00255059" w:rsidRDefault="00874B43">
            <w:pPr>
              <w:spacing w:after="0"/>
              <w:ind w:left="0" w:right="55" w:firstLine="0"/>
              <w:jc w:val="right"/>
            </w:pPr>
            <w:r>
              <w:t>95 %</w:t>
            </w:r>
          </w:p>
        </w:tc>
      </w:tr>
      <w:tr w:rsidR="00255059" w14:paraId="432F1E0A" w14:textId="77777777">
        <w:trPr>
          <w:trHeight w:val="316"/>
        </w:trPr>
        <w:tc>
          <w:tcPr>
            <w:tcW w:w="7407" w:type="dxa"/>
            <w:tcBorders>
              <w:top w:val="single" w:sz="2" w:space="0" w:color="005CA9"/>
              <w:left w:val="nil"/>
              <w:bottom w:val="single" w:sz="2" w:space="0" w:color="005CA9"/>
              <w:right w:val="nil"/>
            </w:tcBorders>
          </w:tcPr>
          <w:p w14:paraId="360250DF" w14:textId="77777777" w:rsidR="00255059" w:rsidRDefault="00874B43">
            <w:pPr>
              <w:spacing w:after="0"/>
              <w:ind w:left="85" w:right="0" w:firstLine="0"/>
            </w:pPr>
            <w:r>
              <w:t>0 až 11</w:t>
            </w:r>
          </w:p>
        </w:tc>
        <w:tc>
          <w:tcPr>
            <w:tcW w:w="1380" w:type="dxa"/>
            <w:tcBorders>
              <w:top w:val="single" w:sz="2" w:space="0" w:color="005CA9"/>
              <w:left w:val="nil"/>
              <w:bottom w:val="single" w:sz="2" w:space="0" w:color="005CA9"/>
              <w:right w:val="nil"/>
            </w:tcBorders>
          </w:tcPr>
          <w:p w14:paraId="11E554DB" w14:textId="77777777" w:rsidR="00255059" w:rsidRDefault="00874B43">
            <w:pPr>
              <w:spacing w:after="0"/>
              <w:ind w:left="186" w:right="0" w:firstLine="0"/>
            </w:pPr>
            <w:r>
              <w:t>Z</w:t>
            </w:r>
          </w:p>
        </w:tc>
        <w:tc>
          <w:tcPr>
            <w:tcW w:w="1248" w:type="dxa"/>
            <w:tcBorders>
              <w:top w:val="single" w:sz="2" w:space="0" w:color="005CA9"/>
              <w:left w:val="nil"/>
              <w:bottom w:val="single" w:sz="2" w:space="0" w:color="005CA9"/>
              <w:right w:val="nil"/>
            </w:tcBorders>
          </w:tcPr>
          <w:p w14:paraId="25F500DE" w14:textId="77777777" w:rsidR="00255059" w:rsidRDefault="00874B43">
            <w:pPr>
              <w:spacing w:after="0"/>
              <w:ind w:left="0" w:right="55" w:firstLine="0"/>
              <w:jc w:val="right"/>
            </w:pPr>
            <w:r>
              <w:t>100 %</w:t>
            </w:r>
          </w:p>
        </w:tc>
      </w:tr>
      <w:tr w:rsidR="00255059" w14:paraId="0D6B7D14" w14:textId="77777777">
        <w:trPr>
          <w:trHeight w:val="316"/>
        </w:trPr>
        <w:tc>
          <w:tcPr>
            <w:tcW w:w="7407" w:type="dxa"/>
            <w:tcBorders>
              <w:top w:val="single" w:sz="2" w:space="0" w:color="005CA9"/>
              <w:left w:val="nil"/>
              <w:bottom w:val="single" w:sz="2" w:space="0" w:color="005CA9"/>
              <w:right w:val="nil"/>
            </w:tcBorders>
          </w:tcPr>
          <w:p w14:paraId="01A033DD" w14:textId="77777777" w:rsidR="00255059" w:rsidRDefault="00874B43">
            <w:pPr>
              <w:spacing w:after="0"/>
              <w:ind w:left="85" w:right="0" w:firstLine="0"/>
            </w:pPr>
            <w:r>
              <w:t>-12 až -1 měsíc</w:t>
            </w:r>
          </w:p>
        </w:tc>
        <w:tc>
          <w:tcPr>
            <w:tcW w:w="1380" w:type="dxa"/>
            <w:tcBorders>
              <w:top w:val="single" w:sz="2" w:space="0" w:color="005CA9"/>
              <w:left w:val="nil"/>
              <w:bottom w:val="single" w:sz="2" w:space="0" w:color="005CA9"/>
              <w:right w:val="nil"/>
            </w:tcBorders>
          </w:tcPr>
          <w:p w14:paraId="79F24AAC" w14:textId="77777777" w:rsidR="00255059" w:rsidRDefault="00874B43">
            <w:pPr>
              <w:spacing w:after="0"/>
              <w:ind w:left="82" w:right="0" w:firstLine="0"/>
            </w:pPr>
            <w:r>
              <w:t>M 1</w:t>
            </w:r>
          </w:p>
        </w:tc>
        <w:tc>
          <w:tcPr>
            <w:tcW w:w="1248" w:type="dxa"/>
            <w:tcBorders>
              <w:top w:val="single" w:sz="2" w:space="0" w:color="005CA9"/>
              <w:left w:val="nil"/>
              <w:bottom w:val="single" w:sz="2" w:space="0" w:color="005CA9"/>
              <w:right w:val="nil"/>
            </w:tcBorders>
          </w:tcPr>
          <w:p w14:paraId="5F279AD3" w14:textId="77777777" w:rsidR="00255059" w:rsidRDefault="00874B43">
            <w:pPr>
              <w:spacing w:after="0"/>
              <w:ind w:left="0" w:right="55" w:firstLine="0"/>
              <w:jc w:val="right"/>
            </w:pPr>
            <w:r>
              <w:t>110 %</w:t>
            </w:r>
          </w:p>
        </w:tc>
      </w:tr>
      <w:tr w:rsidR="00255059" w14:paraId="17727506" w14:textId="77777777">
        <w:trPr>
          <w:trHeight w:val="316"/>
        </w:trPr>
        <w:tc>
          <w:tcPr>
            <w:tcW w:w="7407" w:type="dxa"/>
            <w:tcBorders>
              <w:top w:val="single" w:sz="2" w:space="0" w:color="005CA9"/>
              <w:left w:val="nil"/>
              <w:bottom w:val="single" w:sz="2" w:space="0" w:color="005CA9"/>
              <w:right w:val="nil"/>
            </w:tcBorders>
          </w:tcPr>
          <w:p w14:paraId="6FAA155F" w14:textId="77777777" w:rsidR="00255059" w:rsidRDefault="00874B43">
            <w:pPr>
              <w:spacing w:after="0"/>
              <w:ind w:left="85" w:right="0" w:firstLine="0"/>
            </w:pPr>
            <w:r>
              <w:t>-24 až -13 měsíců</w:t>
            </w:r>
          </w:p>
        </w:tc>
        <w:tc>
          <w:tcPr>
            <w:tcW w:w="1380" w:type="dxa"/>
            <w:tcBorders>
              <w:top w:val="single" w:sz="2" w:space="0" w:color="005CA9"/>
              <w:left w:val="nil"/>
              <w:bottom w:val="single" w:sz="2" w:space="0" w:color="005CA9"/>
              <w:right w:val="nil"/>
            </w:tcBorders>
          </w:tcPr>
          <w:p w14:paraId="6B02C4B0" w14:textId="77777777" w:rsidR="00255059" w:rsidRDefault="00874B43">
            <w:pPr>
              <w:spacing w:after="0"/>
              <w:ind w:left="82" w:right="0" w:firstLine="0"/>
            </w:pPr>
            <w:r>
              <w:t>M 2</w:t>
            </w:r>
          </w:p>
        </w:tc>
        <w:tc>
          <w:tcPr>
            <w:tcW w:w="1248" w:type="dxa"/>
            <w:tcBorders>
              <w:top w:val="single" w:sz="2" w:space="0" w:color="005CA9"/>
              <w:left w:val="nil"/>
              <w:bottom w:val="single" w:sz="2" w:space="0" w:color="005CA9"/>
              <w:right w:val="nil"/>
            </w:tcBorders>
          </w:tcPr>
          <w:p w14:paraId="6440726C" w14:textId="77777777" w:rsidR="00255059" w:rsidRDefault="00874B43">
            <w:pPr>
              <w:spacing w:after="0"/>
              <w:ind w:left="0" w:right="55" w:firstLine="0"/>
              <w:jc w:val="right"/>
            </w:pPr>
            <w:r>
              <w:t>120 %</w:t>
            </w:r>
          </w:p>
        </w:tc>
      </w:tr>
      <w:tr w:rsidR="00255059" w14:paraId="3146C5CE" w14:textId="77777777">
        <w:trPr>
          <w:trHeight w:val="316"/>
        </w:trPr>
        <w:tc>
          <w:tcPr>
            <w:tcW w:w="7407" w:type="dxa"/>
            <w:tcBorders>
              <w:top w:val="single" w:sz="2" w:space="0" w:color="005CA9"/>
              <w:left w:val="nil"/>
              <w:bottom w:val="single" w:sz="2" w:space="0" w:color="005CA9"/>
              <w:right w:val="nil"/>
            </w:tcBorders>
          </w:tcPr>
          <w:p w14:paraId="1D002E37" w14:textId="77777777" w:rsidR="00255059" w:rsidRDefault="00874B43">
            <w:pPr>
              <w:spacing w:after="0"/>
              <w:ind w:left="85" w:right="0" w:firstLine="0"/>
            </w:pPr>
            <w:r>
              <w:t>-36 až -25 měsíců</w:t>
            </w:r>
          </w:p>
        </w:tc>
        <w:tc>
          <w:tcPr>
            <w:tcW w:w="1380" w:type="dxa"/>
            <w:tcBorders>
              <w:top w:val="single" w:sz="2" w:space="0" w:color="005CA9"/>
              <w:left w:val="nil"/>
              <w:bottom w:val="single" w:sz="2" w:space="0" w:color="005CA9"/>
              <w:right w:val="nil"/>
            </w:tcBorders>
          </w:tcPr>
          <w:p w14:paraId="2AF9AEF3" w14:textId="77777777" w:rsidR="00255059" w:rsidRDefault="00874B43">
            <w:pPr>
              <w:spacing w:after="0"/>
              <w:ind w:left="82" w:right="0" w:firstLine="0"/>
            </w:pPr>
            <w:r>
              <w:t>M 3</w:t>
            </w:r>
          </w:p>
        </w:tc>
        <w:tc>
          <w:tcPr>
            <w:tcW w:w="1248" w:type="dxa"/>
            <w:tcBorders>
              <w:top w:val="single" w:sz="2" w:space="0" w:color="005CA9"/>
              <w:left w:val="nil"/>
              <w:bottom w:val="single" w:sz="2" w:space="0" w:color="005CA9"/>
              <w:right w:val="nil"/>
            </w:tcBorders>
          </w:tcPr>
          <w:p w14:paraId="47B9783E" w14:textId="77777777" w:rsidR="00255059" w:rsidRDefault="00874B43">
            <w:pPr>
              <w:spacing w:after="0"/>
              <w:ind w:left="0" w:right="55" w:firstLine="0"/>
              <w:jc w:val="right"/>
            </w:pPr>
            <w:r>
              <w:t>130 %</w:t>
            </w:r>
          </w:p>
        </w:tc>
      </w:tr>
      <w:tr w:rsidR="00255059" w14:paraId="06279920" w14:textId="77777777">
        <w:trPr>
          <w:trHeight w:val="316"/>
        </w:trPr>
        <w:tc>
          <w:tcPr>
            <w:tcW w:w="7407" w:type="dxa"/>
            <w:tcBorders>
              <w:top w:val="single" w:sz="2" w:space="0" w:color="005CA9"/>
              <w:left w:val="nil"/>
              <w:bottom w:val="single" w:sz="2" w:space="0" w:color="005CA9"/>
              <w:right w:val="nil"/>
            </w:tcBorders>
          </w:tcPr>
          <w:p w14:paraId="031F3D2A" w14:textId="77777777" w:rsidR="00255059" w:rsidRDefault="00874B43">
            <w:pPr>
              <w:spacing w:after="0"/>
              <w:ind w:left="85" w:right="0" w:firstLine="0"/>
            </w:pPr>
            <w:r>
              <w:t>-48 až -37 měsíců</w:t>
            </w:r>
          </w:p>
        </w:tc>
        <w:tc>
          <w:tcPr>
            <w:tcW w:w="1380" w:type="dxa"/>
            <w:tcBorders>
              <w:top w:val="single" w:sz="2" w:space="0" w:color="005CA9"/>
              <w:left w:val="nil"/>
              <w:bottom w:val="single" w:sz="2" w:space="0" w:color="005CA9"/>
              <w:right w:val="nil"/>
            </w:tcBorders>
          </w:tcPr>
          <w:p w14:paraId="607A391E" w14:textId="77777777" w:rsidR="00255059" w:rsidRDefault="00874B43">
            <w:pPr>
              <w:spacing w:after="0"/>
              <w:ind w:left="82" w:right="0" w:firstLine="0"/>
            </w:pPr>
            <w:r>
              <w:t>M 4</w:t>
            </w:r>
          </w:p>
        </w:tc>
        <w:tc>
          <w:tcPr>
            <w:tcW w:w="1248" w:type="dxa"/>
            <w:tcBorders>
              <w:top w:val="single" w:sz="2" w:space="0" w:color="005CA9"/>
              <w:left w:val="nil"/>
              <w:bottom w:val="single" w:sz="2" w:space="0" w:color="005CA9"/>
              <w:right w:val="nil"/>
            </w:tcBorders>
          </w:tcPr>
          <w:p w14:paraId="4BEE0AF8" w14:textId="77777777" w:rsidR="00255059" w:rsidRDefault="00874B43">
            <w:pPr>
              <w:spacing w:after="0"/>
              <w:ind w:left="0" w:right="55" w:firstLine="0"/>
              <w:jc w:val="right"/>
            </w:pPr>
            <w:r>
              <w:t>140 %</w:t>
            </w:r>
          </w:p>
        </w:tc>
      </w:tr>
      <w:tr w:rsidR="00255059" w14:paraId="4A6613B8" w14:textId="77777777">
        <w:trPr>
          <w:trHeight w:val="316"/>
        </w:trPr>
        <w:tc>
          <w:tcPr>
            <w:tcW w:w="7407" w:type="dxa"/>
            <w:tcBorders>
              <w:top w:val="single" w:sz="2" w:space="0" w:color="005CA9"/>
              <w:left w:val="nil"/>
              <w:bottom w:val="single" w:sz="2" w:space="0" w:color="005CA9"/>
              <w:right w:val="nil"/>
            </w:tcBorders>
          </w:tcPr>
          <w:p w14:paraId="382A099D" w14:textId="77777777" w:rsidR="00255059" w:rsidRDefault="00874B43">
            <w:pPr>
              <w:spacing w:after="0"/>
              <w:ind w:left="85" w:right="0" w:firstLine="0"/>
            </w:pPr>
            <w:r>
              <w:lastRenderedPageBreak/>
              <w:t>-60 až -49 měsíců</w:t>
            </w:r>
          </w:p>
        </w:tc>
        <w:tc>
          <w:tcPr>
            <w:tcW w:w="1380" w:type="dxa"/>
            <w:tcBorders>
              <w:top w:val="single" w:sz="2" w:space="0" w:color="005CA9"/>
              <w:left w:val="nil"/>
              <w:bottom w:val="single" w:sz="2" w:space="0" w:color="005CA9"/>
              <w:right w:val="nil"/>
            </w:tcBorders>
          </w:tcPr>
          <w:p w14:paraId="3FBF8D39" w14:textId="77777777" w:rsidR="00255059" w:rsidRDefault="00874B43">
            <w:pPr>
              <w:spacing w:after="0"/>
              <w:ind w:left="82" w:right="0" w:firstLine="0"/>
            </w:pPr>
            <w:r>
              <w:t>M 5</w:t>
            </w:r>
          </w:p>
        </w:tc>
        <w:tc>
          <w:tcPr>
            <w:tcW w:w="1248" w:type="dxa"/>
            <w:tcBorders>
              <w:top w:val="single" w:sz="2" w:space="0" w:color="005CA9"/>
              <w:left w:val="nil"/>
              <w:bottom w:val="single" w:sz="2" w:space="0" w:color="005CA9"/>
              <w:right w:val="nil"/>
            </w:tcBorders>
          </w:tcPr>
          <w:p w14:paraId="32999E99" w14:textId="77777777" w:rsidR="00255059" w:rsidRDefault="00874B43">
            <w:pPr>
              <w:spacing w:after="0"/>
              <w:ind w:left="0" w:right="55" w:firstLine="0"/>
              <w:jc w:val="right"/>
            </w:pPr>
            <w:r>
              <w:t>150 %</w:t>
            </w:r>
          </w:p>
        </w:tc>
      </w:tr>
      <w:tr w:rsidR="00255059" w14:paraId="1C054862" w14:textId="77777777">
        <w:trPr>
          <w:trHeight w:val="316"/>
        </w:trPr>
        <w:tc>
          <w:tcPr>
            <w:tcW w:w="7407" w:type="dxa"/>
            <w:tcBorders>
              <w:top w:val="single" w:sz="2" w:space="0" w:color="005CA9"/>
              <w:left w:val="nil"/>
              <w:bottom w:val="single" w:sz="2" w:space="0" w:color="005CA9"/>
              <w:right w:val="nil"/>
            </w:tcBorders>
          </w:tcPr>
          <w:p w14:paraId="490F6644" w14:textId="77777777" w:rsidR="00255059" w:rsidRDefault="00874B43">
            <w:pPr>
              <w:spacing w:after="0"/>
              <w:ind w:left="85" w:right="0" w:firstLine="0"/>
            </w:pPr>
            <w:r>
              <w:t>-72 až -61 měsíců</w:t>
            </w:r>
          </w:p>
        </w:tc>
        <w:tc>
          <w:tcPr>
            <w:tcW w:w="1380" w:type="dxa"/>
            <w:tcBorders>
              <w:top w:val="single" w:sz="2" w:space="0" w:color="005CA9"/>
              <w:left w:val="nil"/>
              <w:bottom w:val="single" w:sz="2" w:space="0" w:color="005CA9"/>
              <w:right w:val="nil"/>
            </w:tcBorders>
          </w:tcPr>
          <w:p w14:paraId="6ED3122C" w14:textId="77777777" w:rsidR="00255059" w:rsidRDefault="00874B43">
            <w:pPr>
              <w:spacing w:after="0"/>
              <w:ind w:left="82" w:right="0" w:firstLine="0"/>
            </w:pPr>
            <w:r>
              <w:t>M 6</w:t>
            </w:r>
          </w:p>
        </w:tc>
        <w:tc>
          <w:tcPr>
            <w:tcW w:w="1248" w:type="dxa"/>
            <w:tcBorders>
              <w:top w:val="single" w:sz="2" w:space="0" w:color="005CA9"/>
              <w:left w:val="nil"/>
              <w:bottom w:val="single" w:sz="2" w:space="0" w:color="005CA9"/>
              <w:right w:val="nil"/>
            </w:tcBorders>
          </w:tcPr>
          <w:p w14:paraId="326D0929" w14:textId="77777777" w:rsidR="00255059" w:rsidRDefault="00874B43">
            <w:pPr>
              <w:spacing w:after="0"/>
              <w:ind w:left="0" w:right="55" w:firstLine="0"/>
              <w:jc w:val="right"/>
            </w:pPr>
            <w:r>
              <w:t>160 %</w:t>
            </w:r>
          </w:p>
        </w:tc>
      </w:tr>
      <w:tr w:rsidR="00255059" w14:paraId="2F556810" w14:textId="77777777">
        <w:trPr>
          <w:trHeight w:val="316"/>
        </w:trPr>
        <w:tc>
          <w:tcPr>
            <w:tcW w:w="7407" w:type="dxa"/>
            <w:tcBorders>
              <w:top w:val="single" w:sz="2" w:space="0" w:color="005CA9"/>
              <w:left w:val="nil"/>
              <w:bottom w:val="single" w:sz="2" w:space="0" w:color="005CA9"/>
              <w:right w:val="nil"/>
            </w:tcBorders>
          </w:tcPr>
          <w:p w14:paraId="11B68CF4" w14:textId="77777777" w:rsidR="00255059" w:rsidRDefault="00874B43">
            <w:pPr>
              <w:spacing w:after="0"/>
              <w:ind w:left="85" w:right="0" w:firstLine="0"/>
            </w:pPr>
            <w:r>
              <w:t>-84 až -73 měsíců</w:t>
            </w:r>
          </w:p>
        </w:tc>
        <w:tc>
          <w:tcPr>
            <w:tcW w:w="1380" w:type="dxa"/>
            <w:tcBorders>
              <w:top w:val="single" w:sz="2" w:space="0" w:color="005CA9"/>
              <w:left w:val="nil"/>
              <w:bottom w:val="single" w:sz="2" w:space="0" w:color="005CA9"/>
              <w:right w:val="nil"/>
            </w:tcBorders>
          </w:tcPr>
          <w:p w14:paraId="234A2CB5" w14:textId="77777777" w:rsidR="00255059" w:rsidRDefault="00874B43">
            <w:pPr>
              <w:spacing w:after="0"/>
              <w:ind w:left="82" w:right="0" w:firstLine="0"/>
            </w:pPr>
            <w:r>
              <w:t>M 7</w:t>
            </w:r>
          </w:p>
        </w:tc>
        <w:tc>
          <w:tcPr>
            <w:tcW w:w="1248" w:type="dxa"/>
            <w:tcBorders>
              <w:top w:val="single" w:sz="2" w:space="0" w:color="005CA9"/>
              <w:left w:val="nil"/>
              <w:bottom w:val="single" w:sz="2" w:space="0" w:color="005CA9"/>
              <w:right w:val="nil"/>
            </w:tcBorders>
          </w:tcPr>
          <w:p w14:paraId="6FA1DAD7" w14:textId="77777777" w:rsidR="00255059" w:rsidRDefault="00874B43">
            <w:pPr>
              <w:spacing w:after="0"/>
              <w:ind w:left="0" w:right="55" w:firstLine="0"/>
              <w:jc w:val="right"/>
            </w:pPr>
            <w:r>
              <w:t>170 %</w:t>
            </w:r>
          </w:p>
        </w:tc>
      </w:tr>
      <w:tr w:rsidR="00255059" w14:paraId="38A8F567" w14:textId="77777777">
        <w:trPr>
          <w:trHeight w:val="316"/>
        </w:trPr>
        <w:tc>
          <w:tcPr>
            <w:tcW w:w="7407" w:type="dxa"/>
            <w:tcBorders>
              <w:top w:val="single" w:sz="2" w:space="0" w:color="005CA9"/>
              <w:left w:val="nil"/>
              <w:bottom w:val="single" w:sz="2" w:space="0" w:color="005CA9"/>
              <w:right w:val="nil"/>
            </w:tcBorders>
          </w:tcPr>
          <w:p w14:paraId="7A85EE53" w14:textId="77777777" w:rsidR="00255059" w:rsidRDefault="00874B43">
            <w:pPr>
              <w:spacing w:after="0"/>
              <w:ind w:left="85" w:right="0" w:firstLine="0"/>
            </w:pPr>
            <w:r>
              <w:t>-96 až -85 měsíců</w:t>
            </w:r>
          </w:p>
        </w:tc>
        <w:tc>
          <w:tcPr>
            <w:tcW w:w="1380" w:type="dxa"/>
            <w:tcBorders>
              <w:top w:val="single" w:sz="2" w:space="0" w:color="005CA9"/>
              <w:left w:val="nil"/>
              <w:bottom w:val="single" w:sz="2" w:space="0" w:color="005CA9"/>
              <w:right w:val="nil"/>
            </w:tcBorders>
          </w:tcPr>
          <w:p w14:paraId="7F14CF0C" w14:textId="77777777" w:rsidR="00255059" w:rsidRDefault="00874B43">
            <w:pPr>
              <w:spacing w:after="0"/>
              <w:ind w:left="82" w:right="0" w:firstLine="0"/>
            </w:pPr>
            <w:r>
              <w:t>M 8</w:t>
            </w:r>
          </w:p>
        </w:tc>
        <w:tc>
          <w:tcPr>
            <w:tcW w:w="1248" w:type="dxa"/>
            <w:tcBorders>
              <w:top w:val="single" w:sz="2" w:space="0" w:color="005CA9"/>
              <w:left w:val="nil"/>
              <w:bottom w:val="single" w:sz="2" w:space="0" w:color="005CA9"/>
              <w:right w:val="nil"/>
            </w:tcBorders>
          </w:tcPr>
          <w:p w14:paraId="5C580AF3" w14:textId="77777777" w:rsidR="00255059" w:rsidRDefault="00874B43">
            <w:pPr>
              <w:spacing w:after="0"/>
              <w:ind w:left="0" w:right="55" w:firstLine="0"/>
              <w:jc w:val="right"/>
            </w:pPr>
            <w:r>
              <w:t>180 %</w:t>
            </w:r>
          </w:p>
        </w:tc>
      </w:tr>
      <w:tr w:rsidR="00255059" w14:paraId="41B9DE77" w14:textId="77777777">
        <w:trPr>
          <w:trHeight w:val="316"/>
        </w:trPr>
        <w:tc>
          <w:tcPr>
            <w:tcW w:w="7407" w:type="dxa"/>
            <w:tcBorders>
              <w:top w:val="single" w:sz="2" w:space="0" w:color="005CA9"/>
              <w:left w:val="nil"/>
              <w:bottom w:val="single" w:sz="2" w:space="0" w:color="005CA9"/>
              <w:right w:val="nil"/>
            </w:tcBorders>
          </w:tcPr>
          <w:p w14:paraId="44DB4430" w14:textId="77777777" w:rsidR="00255059" w:rsidRDefault="00874B43">
            <w:pPr>
              <w:spacing w:after="0"/>
              <w:ind w:left="85" w:right="0" w:firstLine="0"/>
            </w:pPr>
            <w:r>
              <w:t>-108 až -97 měsíců</w:t>
            </w:r>
          </w:p>
        </w:tc>
        <w:tc>
          <w:tcPr>
            <w:tcW w:w="1380" w:type="dxa"/>
            <w:tcBorders>
              <w:top w:val="single" w:sz="2" w:space="0" w:color="005CA9"/>
              <w:left w:val="nil"/>
              <w:bottom w:val="single" w:sz="2" w:space="0" w:color="005CA9"/>
              <w:right w:val="nil"/>
            </w:tcBorders>
          </w:tcPr>
          <w:p w14:paraId="2AD3C220" w14:textId="77777777" w:rsidR="00255059" w:rsidRDefault="00874B43">
            <w:pPr>
              <w:spacing w:after="0"/>
              <w:ind w:left="82" w:right="0" w:firstLine="0"/>
            </w:pPr>
            <w:r>
              <w:t>M 9</w:t>
            </w:r>
          </w:p>
        </w:tc>
        <w:tc>
          <w:tcPr>
            <w:tcW w:w="1248" w:type="dxa"/>
            <w:tcBorders>
              <w:top w:val="single" w:sz="2" w:space="0" w:color="005CA9"/>
              <w:left w:val="nil"/>
              <w:bottom w:val="single" w:sz="2" w:space="0" w:color="005CA9"/>
              <w:right w:val="nil"/>
            </w:tcBorders>
          </w:tcPr>
          <w:p w14:paraId="18CB138E" w14:textId="77777777" w:rsidR="00255059" w:rsidRDefault="00874B43">
            <w:pPr>
              <w:spacing w:after="0"/>
              <w:ind w:left="0" w:right="55" w:firstLine="0"/>
              <w:jc w:val="right"/>
            </w:pPr>
            <w:r>
              <w:t>190 %</w:t>
            </w:r>
          </w:p>
        </w:tc>
      </w:tr>
      <w:tr w:rsidR="00255059" w14:paraId="1EE1EC0D" w14:textId="77777777">
        <w:trPr>
          <w:trHeight w:val="316"/>
        </w:trPr>
        <w:tc>
          <w:tcPr>
            <w:tcW w:w="7407" w:type="dxa"/>
            <w:tcBorders>
              <w:top w:val="single" w:sz="2" w:space="0" w:color="005CA9"/>
              <w:left w:val="nil"/>
              <w:bottom w:val="single" w:sz="5" w:space="0" w:color="005CA9"/>
              <w:right w:val="nil"/>
            </w:tcBorders>
          </w:tcPr>
          <w:p w14:paraId="129857B2" w14:textId="77777777" w:rsidR="00255059" w:rsidRDefault="00874B43">
            <w:pPr>
              <w:spacing w:after="0"/>
              <w:ind w:left="85" w:right="0" w:firstLine="0"/>
            </w:pPr>
            <w:r>
              <w:t>-109 a více měsíců</w:t>
            </w:r>
          </w:p>
        </w:tc>
        <w:tc>
          <w:tcPr>
            <w:tcW w:w="1380" w:type="dxa"/>
            <w:tcBorders>
              <w:top w:val="single" w:sz="2" w:space="0" w:color="005CA9"/>
              <w:left w:val="nil"/>
              <w:bottom w:val="single" w:sz="5" w:space="0" w:color="005CA9"/>
              <w:right w:val="nil"/>
            </w:tcBorders>
          </w:tcPr>
          <w:p w14:paraId="796900AE" w14:textId="77777777" w:rsidR="00255059" w:rsidRDefault="00874B43">
            <w:pPr>
              <w:spacing w:after="0"/>
              <w:ind w:left="61" w:right="0" w:firstLine="0"/>
            </w:pPr>
            <w:r>
              <w:t>M10</w:t>
            </w:r>
          </w:p>
        </w:tc>
        <w:tc>
          <w:tcPr>
            <w:tcW w:w="1248" w:type="dxa"/>
            <w:tcBorders>
              <w:top w:val="single" w:sz="2" w:space="0" w:color="005CA9"/>
              <w:left w:val="nil"/>
              <w:bottom w:val="single" w:sz="5" w:space="0" w:color="005CA9"/>
              <w:right w:val="nil"/>
            </w:tcBorders>
          </w:tcPr>
          <w:p w14:paraId="4C4C1C2E" w14:textId="77777777" w:rsidR="00255059" w:rsidRDefault="00874B43">
            <w:pPr>
              <w:spacing w:after="0"/>
              <w:ind w:left="0" w:right="55" w:firstLine="0"/>
              <w:jc w:val="right"/>
            </w:pPr>
            <w:r>
              <w:t>200 %</w:t>
            </w:r>
          </w:p>
        </w:tc>
      </w:tr>
    </w:tbl>
    <w:p w14:paraId="5C29724E" w14:textId="77777777" w:rsidR="00255059" w:rsidRDefault="00874B43">
      <w:pPr>
        <w:numPr>
          <w:ilvl w:val="0"/>
          <w:numId w:val="6"/>
        </w:numPr>
        <w:ind w:right="24" w:hanging="340"/>
      </w:pPr>
      <w:r>
        <w:t xml:space="preserve">Ke změně třídy Bonusu – Malusu (úpravě pojistného) dochází vždy jedenkrát ročně ke dni a měsíci shodnému s počátkem pojištění. Rozhodná doba pro započítání škodního průběhu </w:t>
      </w:r>
      <w:proofErr w:type="gramStart"/>
      <w:r>
        <w:t>končí</w:t>
      </w:r>
      <w:proofErr w:type="gramEnd"/>
      <w:r>
        <w:t xml:space="preserve"> 3 měsíce před datem uvedené úpravy pojistného. Škody vzniklé po této době se započítají až v další úpravě (za jeden rok).</w:t>
      </w:r>
    </w:p>
    <w:p w14:paraId="3D131465" w14:textId="77777777" w:rsidR="00255059" w:rsidRDefault="00874B43">
      <w:pPr>
        <w:numPr>
          <w:ilvl w:val="0"/>
          <w:numId w:val="6"/>
        </w:numPr>
        <w:ind w:right="24" w:hanging="340"/>
      </w:pPr>
      <w:r>
        <w:t>Netrvá-li doba od zániku předmětného pojištění do vzniku následujícího déle než jeden rok, bezeškodní doba se nemění.</w:t>
      </w:r>
    </w:p>
    <w:p w14:paraId="20023C69" w14:textId="77777777" w:rsidR="00255059" w:rsidRDefault="00874B43">
      <w:pPr>
        <w:numPr>
          <w:ilvl w:val="0"/>
          <w:numId w:val="6"/>
        </w:numPr>
        <w:ind w:right="24" w:hanging="340"/>
      </w:pPr>
      <w:r>
        <w:t>Bezeškodní dobu lze zvýšit pouze za dobu celých měsíců, po kterou nedošlo k pojistné události z KASKO. Vozidlo bude zařazeno v následujícím pojistném období o 1 třídu výše a bude placeno nižší pojistné.</w:t>
      </w:r>
    </w:p>
    <w:p w14:paraId="10D45A32" w14:textId="77777777" w:rsidR="00255059" w:rsidRDefault="00874B43">
      <w:pPr>
        <w:numPr>
          <w:ilvl w:val="0"/>
          <w:numId w:val="6"/>
        </w:numPr>
        <w:ind w:right="24" w:hanging="340"/>
      </w:pPr>
      <w:r>
        <w:t>Za každou pojistnou událost z KASKO se bezeškodní doba snižuje o 3 třídy a bude placeno vyšší pojistné.</w:t>
      </w:r>
    </w:p>
    <w:p w14:paraId="3D94DFAB" w14:textId="77777777" w:rsidR="00255059" w:rsidRDefault="00874B43">
      <w:pPr>
        <w:numPr>
          <w:ilvl w:val="0"/>
          <w:numId w:val="6"/>
        </w:numPr>
        <w:ind w:right="24" w:hanging="340"/>
      </w:pPr>
      <w:r>
        <w:t>Bezeškodní doba se nesnižuje v případech:</w:t>
      </w:r>
    </w:p>
    <w:p w14:paraId="1355831B" w14:textId="77777777" w:rsidR="00255059" w:rsidRDefault="00874B43">
      <w:pPr>
        <w:numPr>
          <w:ilvl w:val="1"/>
          <w:numId w:val="7"/>
        </w:numPr>
        <w:ind w:right="24" w:hanging="340"/>
      </w:pPr>
      <w:r>
        <w:t>kdy pojistník sdělí písemně pojistiteli, že se vzdává pojistného plnění za již nahlášenou škodnou událost, jestliže pojistitel dosud pojistné plnění neuhradil nebo</w:t>
      </w:r>
    </w:p>
    <w:p w14:paraId="5293706F" w14:textId="77777777" w:rsidR="00255059" w:rsidRDefault="00874B43">
      <w:pPr>
        <w:numPr>
          <w:ilvl w:val="1"/>
          <w:numId w:val="7"/>
        </w:numPr>
        <w:ind w:right="24" w:hanging="340"/>
      </w:pPr>
      <w:r>
        <w:t xml:space="preserve">jestliže pojistník plnění vrátil do </w:t>
      </w:r>
      <w:proofErr w:type="gramStart"/>
      <w:r>
        <w:t>6ti</w:t>
      </w:r>
      <w:proofErr w:type="gramEnd"/>
      <w:r>
        <w:t xml:space="preserve"> týdnů poté, kdy výplatu pojistného plnění obdržel a písemně o tom pojistitele informoval nebo</w:t>
      </w:r>
    </w:p>
    <w:p w14:paraId="7D4D330E" w14:textId="77777777" w:rsidR="00255059" w:rsidRDefault="00874B43">
      <w:pPr>
        <w:numPr>
          <w:ilvl w:val="1"/>
          <w:numId w:val="7"/>
        </w:numPr>
        <w:ind w:right="24" w:hanging="340"/>
      </w:pPr>
      <w:r>
        <w:t>pojistné události způsobené živelní událostí hromadného charakteru nebo</w:t>
      </w:r>
    </w:p>
    <w:p w14:paraId="15AC8D09" w14:textId="77777777" w:rsidR="00255059" w:rsidRDefault="00874B43">
      <w:pPr>
        <w:numPr>
          <w:ilvl w:val="1"/>
          <w:numId w:val="7"/>
        </w:numPr>
        <w:ind w:right="24" w:hanging="340"/>
      </w:pPr>
      <w:r>
        <w:t>pojistné události vzniklé odcizením vozidla, které se v době škodné události nalézalo v uzamčené garáži.</w:t>
      </w:r>
    </w:p>
    <w:p w14:paraId="17AB49F2" w14:textId="77777777" w:rsidR="00255059" w:rsidRDefault="00874B43">
      <w:pPr>
        <w:numPr>
          <w:ilvl w:val="0"/>
          <w:numId w:val="6"/>
        </w:numPr>
        <w:ind w:right="24" w:hanging="340"/>
      </w:pPr>
      <w:r>
        <w:t>Pojistitel může rozhodnout, že se bezeškodní doba nesnižuje také v případě pojistné události prokazatelně zaviněné třetí osobou, vůči níž lze uplatnit regres.</w:t>
      </w:r>
    </w:p>
    <w:p w14:paraId="21407AD2" w14:textId="77777777" w:rsidR="00255059" w:rsidRDefault="00874B43">
      <w:pPr>
        <w:numPr>
          <w:ilvl w:val="0"/>
          <w:numId w:val="6"/>
        </w:numPr>
        <w:ind w:right="24" w:hanging="340"/>
      </w:pPr>
      <w:r>
        <w:t>Pojistná událost uplatněná z KASKO pojištění nemá vliv na bezeškodní dobu pojištění odpovědnosti z provozu vozidla (dále jen „POV“) a naopak.</w:t>
      </w:r>
    </w:p>
    <w:p w14:paraId="41B47CB7" w14:textId="77777777" w:rsidR="00255059" w:rsidRDefault="00874B43">
      <w:pPr>
        <w:numPr>
          <w:ilvl w:val="0"/>
          <w:numId w:val="6"/>
        </w:numPr>
        <w:spacing w:after="357"/>
        <w:ind w:right="24" w:hanging="340"/>
      </w:pPr>
      <w:r>
        <w:t>Promítnutí vlivu Bonusu-Malusu není změnou běžného pojistného ve smyslu občanského zákoníku. Oznámení výše pojistného po započtení Bonusu-Malusu je prováděno jako součást běžného předpisu pojistného k datu výročí smlouvy.</w:t>
      </w:r>
    </w:p>
    <w:p w14:paraId="44215BB0" w14:textId="77777777" w:rsidR="00255059" w:rsidRDefault="00874B43">
      <w:pPr>
        <w:pStyle w:val="Nadpis1"/>
        <w:ind w:left="-5"/>
      </w:pPr>
      <w:r>
        <w:t>Článek 6</w:t>
      </w:r>
    </w:p>
    <w:p w14:paraId="4EC7354B" w14:textId="77777777" w:rsidR="00255059" w:rsidRDefault="00874B43">
      <w:pPr>
        <w:pStyle w:val="Nadpis2"/>
        <w:ind w:left="-5"/>
      </w:pPr>
      <w:r>
        <w:t>Pojistné plnění</w:t>
      </w:r>
    </w:p>
    <w:p w14:paraId="4B546D97" w14:textId="77777777" w:rsidR="00255059" w:rsidRDefault="00874B43">
      <w:pPr>
        <w:ind w:left="-15" w:right="24" w:firstLine="0"/>
      </w:pPr>
      <w:r>
        <w:t>Pojistitel v případě pojistné události rozhodne, zda na pojištěném vozidle došlo k parciální či totální škodě a pojistné plnění vypočte následovně:</w:t>
      </w:r>
    </w:p>
    <w:p w14:paraId="00FD108D" w14:textId="77777777" w:rsidR="00255059" w:rsidRDefault="00874B43">
      <w:pPr>
        <w:numPr>
          <w:ilvl w:val="0"/>
          <w:numId w:val="9"/>
        </w:numPr>
        <w:ind w:right="24" w:hanging="340"/>
      </w:pPr>
      <w:r>
        <w:t>V případě totální škody, vzniklé na pojištěném vozidle (včetně odcizení vozidla), vychází pojistitel při výpočtu výše pojistného plnění z obecné ceny vozu ke dni vzniku škody.</w:t>
      </w:r>
    </w:p>
    <w:p w14:paraId="0770AAC5" w14:textId="77777777" w:rsidR="00255059" w:rsidRDefault="00874B43">
      <w:pPr>
        <w:numPr>
          <w:ilvl w:val="0"/>
          <w:numId w:val="9"/>
        </w:numPr>
        <w:ind w:right="24" w:hanging="340"/>
      </w:pPr>
      <w:r>
        <w:t xml:space="preserve">V případě parciální škody, vzniklé na pojištěném vozidle, jsou pojistným plněním přiměřené náklady na opravu vozidla v cenách nových dílů, po odpočtu využitelných zbytků </w:t>
      </w:r>
      <w:r>
        <w:rPr>
          <w:b/>
        </w:rPr>
        <w:t xml:space="preserve">maximálně do výše 80 % </w:t>
      </w:r>
      <w:r>
        <w:t>obecné ceny vozu ke dni vzniku pojistné události. Technologii odstranění škody stanovuje pojistitel. Škody převyšující tuto hranici jsou řešeny jako škody totální.</w:t>
      </w:r>
    </w:p>
    <w:p w14:paraId="08540E3B" w14:textId="77777777" w:rsidR="00255059" w:rsidRDefault="00874B43">
      <w:pPr>
        <w:numPr>
          <w:ilvl w:val="0"/>
          <w:numId w:val="9"/>
        </w:numPr>
        <w:ind w:right="24" w:hanging="340"/>
      </w:pPr>
      <w:r>
        <w:t>Přiměřenými náklady na opravu se v případě parciální škody, podle odst. 2 tohoto článku, rozumí náklady na účelné odstranění škody vzniklé na vozidle, stanovené výpočtem pojistitele, který vychází z doporučených cen výrobce či dovozce vozidla nebo distributora náhradních dílů. Výpočet je prováděn pomocí všeobecně používaného kalkulačního systému splňujícího požadavek na stanovení přiměřených nákladů na opravu následovně:</w:t>
      </w:r>
    </w:p>
    <w:p w14:paraId="1BB29111" w14:textId="77777777" w:rsidR="00255059" w:rsidRDefault="00874B43">
      <w:pPr>
        <w:numPr>
          <w:ilvl w:val="1"/>
          <w:numId w:val="9"/>
        </w:numPr>
        <w:ind w:right="24" w:hanging="340"/>
      </w:pPr>
      <w:r>
        <w:t>náklady na provedenou práci jsou stanoveny ve výši rozpisu pracovních časů potřebných k opravě či výměně poškozeného dílu (tzn. součásti, podskupiny či skupiny vozidla), které jsou násobeny hodinovou sazbou dle volby limitu oprav ve smlouvě,</w:t>
      </w:r>
    </w:p>
    <w:p w14:paraId="2C73E7AC" w14:textId="77777777" w:rsidR="00255059" w:rsidRDefault="00874B43">
      <w:pPr>
        <w:numPr>
          <w:ilvl w:val="1"/>
          <w:numId w:val="9"/>
        </w:numPr>
        <w:ind w:right="24" w:hanging="340"/>
      </w:pPr>
      <w:r>
        <w:rPr>
          <w:b/>
        </w:rPr>
        <w:t>náklady na materiál jsou stanoveny rozpisem vyměněných dílů či použitého materiálu na opravu. V případě, že bude pojistitelem prokázáno odstranění škody za použití starších nebo neoriginálních náhradních dílů, je pojistitel oprávněn zohlednit tuto skutečnost ve výpočtu výše pojistného plnění vycházeje z cen skutečně použitých náhradních dílů.</w:t>
      </w:r>
    </w:p>
    <w:p w14:paraId="758B6CF0" w14:textId="77777777" w:rsidR="00255059" w:rsidRDefault="00874B43">
      <w:pPr>
        <w:numPr>
          <w:ilvl w:val="0"/>
          <w:numId w:val="9"/>
        </w:numPr>
        <w:ind w:right="24" w:hanging="340"/>
      </w:pPr>
      <w:r>
        <w:t>Ve smlouvě mohou být zvoleny limity oprav:</w:t>
      </w:r>
    </w:p>
    <w:p w14:paraId="00DF2545" w14:textId="77777777" w:rsidR="00255059" w:rsidRDefault="00874B43">
      <w:pPr>
        <w:numPr>
          <w:ilvl w:val="1"/>
          <w:numId w:val="9"/>
        </w:numPr>
        <w:ind w:right="24" w:hanging="340"/>
      </w:pPr>
      <w:r>
        <w:t xml:space="preserve">„Svépomoc“, kde přiměřenými náklady na opravu se rozumí výpočet pojistitele obsahující hodinovou sazbu stanovenou pojistitelem pro opravy svépomocí (tato sazba je zveřejňovaná na </w:t>
      </w:r>
      <w:r>
        <w:rPr>
          <w:b/>
          <w:color w:val="005CA9"/>
        </w:rPr>
        <w:t>www.uniqa.cz</w:t>
      </w:r>
      <w:r>
        <w:t>) a ceny nových náhradních dílů; jsou-li k dispozici, použije pojistitel cen dílů kvalitativně rovnocenných, dodávaných na trh nezávislými distributory. Úhrada rozpočtem je omezena dle čl. 9 odst. 3., 4. a 5.</w:t>
      </w:r>
    </w:p>
    <w:p w14:paraId="0BA57D7E" w14:textId="77777777" w:rsidR="00255059" w:rsidRDefault="00874B43">
      <w:pPr>
        <w:numPr>
          <w:ilvl w:val="1"/>
          <w:numId w:val="9"/>
        </w:numPr>
        <w:ind w:right="24" w:hanging="340"/>
      </w:pPr>
      <w:r>
        <w:lastRenderedPageBreak/>
        <w:t>„Smluvní servis“, kde přiměřenými náklady na opravu se rozumí náklady na opravu vozidla ve smluvním servisu UNIQA limitované podmínkami tohoto článku a smlouvou mezi UNIQA a konkrétním smluvním servisem.</w:t>
      </w:r>
    </w:p>
    <w:p w14:paraId="66CC11CE" w14:textId="77777777" w:rsidR="00255059" w:rsidRDefault="00874B43">
      <w:pPr>
        <w:numPr>
          <w:ilvl w:val="1"/>
          <w:numId w:val="9"/>
        </w:numPr>
        <w:ind w:right="24" w:hanging="340"/>
      </w:pPr>
      <w:r>
        <w:t>„Servis v ČR“, kde přiměřenými náklady na opravu se rozumí náklady na opravu vozidla v servisu v ČR obvyklé v místě a čase limitované pouze podmínkami tohoto článku.</w:t>
      </w:r>
    </w:p>
    <w:p w14:paraId="3DD3F8AB" w14:textId="77777777" w:rsidR="00255059" w:rsidRDefault="00874B43">
      <w:pPr>
        <w:numPr>
          <w:ilvl w:val="1"/>
          <w:numId w:val="9"/>
        </w:numPr>
        <w:ind w:right="24" w:hanging="340"/>
      </w:pPr>
      <w:r>
        <w:t>„Bez omezení“, kde přiměřenými náklady na opravu se rozumí náklady na opravu vozidla v servisu obvyklé v místě a čase limitované pouze podmínkami tohoto článku.</w:t>
      </w:r>
    </w:p>
    <w:p w14:paraId="07F79EC7" w14:textId="77777777" w:rsidR="00255059" w:rsidRDefault="00874B43">
      <w:pPr>
        <w:numPr>
          <w:ilvl w:val="0"/>
          <w:numId w:val="9"/>
        </w:numPr>
        <w:ind w:right="24" w:hanging="340"/>
      </w:pPr>
      <w:r>
        <w:t xml:space="preserve">Ostatní náklady jsou posuzovány individuálně podle doporučení výrobce, značkové opravny či nařízení souvisejících právních předpisů (například proplacení DPH, nemá-li pojištěný nárok na odpočet). U plátců DPH poskytuje pojistitel pojistné plnění bez DPH s výjimkou případů, kdy plátce DPH nemůže z důvodů daných příslušnými právními předpisy uplatnit odpočet u finančního úřadu. </w:t>
      </w:r>
    </w:p>
    <w:p w14:paraId="4192E5ED" w14:textId="77777777" w:rsidR="00255059" w:rsidRDefault="00874B43">
      <w:pPr>
        <w:numPr>
          <w:ilvl w:val="0"/>
          <w:numId w:val="9"/>
        </w:numPr>
        <w:ind w:right="24" w:hanging="340"/>
      </w:pPr>
      <w:r>
        <w:rPr>
          <w:b/>
        </w:rPr>
        <w:t>Přiměřenými náklady na opravu nejsou smluvní ceny dohodnuté mezi opravnou a objednatelem opravy.</w:t>
      </w:r>
      <w:r>
        <w:t xml:space="preserve"> Smluvní cena za opravu vozidla bude pojistitelem akceptována pouze za předpokladu, že </w:t>
      </w:r>
      <w:proofErr w:type="gramStart"/>
      <w:r>
        <w:t>nepřevýší</w:t>
      </w:r>
      <w:proofErr w:type="gramEnd"/>
      <w:r>
        <w:t xml:space="preserve"> částku, vypočtenou podle podmínek výše uvedených.</w:t>
      </w:r>
    </w:p>
    <w:p w14:paraId="3B8B8054" w14:textId="77777777" w:rsidR="00255059" w:rsidRDefault="00874B43">
      <w:pPr>
        <w:numPr>
          <w:ilvl w:val="0"/>
          <w:numId w:val="9"/>
        </w:numPr>
        <w:ind w:right="24" w:hanging="340"/>
      </w:pPr>
      <w:r>
        <w:rPr>
          <w:b/>
        </w:rPr>
        <w:t>Při pojistné události v zahraničí může být v místě nehody provedena oprava:</w:t>
      </w:r>
    </w:p>
    <w:p w14:paraId="71C6D813" w14:textId="77777777" w:rsidR="00255059" w:rsidRDefault="00874B43">
      <w:pPr>
        <w:numPr>
          <w:ilvl w:val="1"/>
          <w:numId w:val="9"/>
        </w:numPr>
        <w:ind w:right="24" w:hanging="340"/>
      </w:pPr>
      <w:r>
        <w:rPr>
          <w:b/>
        </w:rPr>
        <w:t>se souhlasem pojistitele ve výši limitované ustanoveními tohoto článku nebo</w:t>
      </w:r>
    </w:p>
    <w:p w14:paraId="745C4EA1" w14:textId="77777777" w:rsidR="00255059" w:rsidRDefault="00874B43">
      <w:pPr>
        <w:numPr>
          <w:ilvl w:val="1"/>
          <w:numId w:val="9"/>
        </w:numPr>
        <w:ind w:right="24" w:hanging="340"/>
      </w:pPr>
      <w:r>
        <w:rPr>
          <w:b/>
        </w:rPr>
        <w:t>nouzová, resp. provizorní oprava, pokud je to účelné vzhledem k místu škodné události a dále k rozsahu a povaze poškození vozidla. Tyto náklady budou hrazeny do výše 20 % z pojistného plnění za opravu vozidla, a to nad rámec nákladů dle tohoto článku.</w:t>
      </w:r>
    </w:p>
    <w:p w14:paraId="14416EE7" w14:textId="77777777" w:rsidR="00255059" w:rsidRDefault="00874B43">
      <w:pPr>
        <w:tabs>
          <w:tab w:val="center" w:pos="2619"/>
        </w:tabs>
        <w:ind w:left="0" w:right="0" w:firstLine="0"/>
      </w:pPr>
      <w:r>
        <w:rPr>
          <w:b/>
        </w:rPr>
        <w:t xml:space="preserve"> </w:t>
      </w:r>
      <w:r>
        <w:rPr>
          <w:b/>
        </w:rPr>
        <w:tab/>
        <w:t>Náklady na nouzovou opravu však nelze uhradit</w:t>
      </w:r>
    </w:p>
    <w:p w14:paraId="2D484380" w14:textId="77777777" w:rsidR="00255059" w:rsidRDefault="00874B43">
      <w:pPr>
        <w:ind w:left="325" w:right="1809" w:firstLine="0"/>
      </w:pPr>
      <w:r>
        <w:rPr>
          <w:b/>
        </w:rPr>
        <w:t xml:space="preserve">– </w:t>
      </w:r>
      <w:r>
        <w:rPr>
          <w:b/>
        </w:rPr>
        <w:tab/>
        <w:t xml:space="preserve">ve výši přesahující náklady, které by musely být vynaloženy na odtah vozidla nebo – </w:t>
      </w:r>
      <w:r>
        <w:rPr>
          <w:b/>
        </w:rPr>
        <w:tab/>
        <w:t>byly-li z téže pojistné události hrazeny náklady na odtah vozidla.</w:t>
      </w:r>
    </w:p>
    <w:p w14:paraId="48524617" w14:textId="77777777" w:rsidR="00255059" w:rsidRDefault="00874B43">
      <w:pPr>
        <w:numPr>
          <w:ilvl w:val="0"/>
          <w:numId w:val="9"/>
        </w:numPr>
        <w:ind w:right="24" w:hanging="340"/>
      </w:pPr>
      <w:r>
        <w:t>Pojistitel poskytuje pojistné plnění v tuzemské měně, není-li ujednáno jinak. Pro přepočet cizí měny se použije kurzu vyhlášeného ČNB ke dni vzniku pojistné události.</w:t>
      </w:r>
    </w:p>
    <w:p w14:paraId="1757A9DD" w14:textId="77777777" w:rsidR="00255059" w:rsidRDefault="00874B43">
      <w:pPr>
        <w:numPr>
          <w:ilvl w:val="0"/>
          <w:numId w:val="9"/>
        </w:numPr>
        <w:ind w:right="24" w:hanging="340"/>
      </w:pPr>
      <w:r>
        <w:t>Pojistitel uhradí tyto zachraňovací náklady:</w:t>
      </w:r>
    </w:p>
    <w:p w14:paraId="191C3E08" w14:textId="77777777" w:rsidR="00255059" w:rsidRDefault="00874B43">
      <w:pPr>
        <w:numPr>
          <w:ilvl w:val="1"/>
          <w:numId w:val="9"/>
        </w:numPr>
        <w:ind w:right="24" w:hanging="340"/>
      </w:pPr>
      <w:r>
        <w:t>účelně vynaložené náklady při odvrácení bezprostředně hrozící pojistné události nebo na zmírnění následků již nastalé pojistné události,</w:t>
      </w:r>
    </w:p>
    <w:p w14:paraId="6B847BF7" w14:textId="77777777" w:rsidR="00255059" w:rsidRDefault="00874B43">
      <w:pPr>
        <w:numPr>
          <w:ilvl w:val="1"/>
          <w:numId w:val="9"/>
        </w:numPr>
        <w:ind w:right="24" w:hanging="340"/>
      </w:pPr>
      <w:r>
        <w:t xml:space="preserve">vynaložené náklady z důvodu hygienických, ekologických či bezpečnostních při povinnosti odklidit poškozené pojištěné vozidlo nebo jeho zbytky. Úhrada zachraňovacích nákladů, které byly vynaloženy </w:t>
      </w:r>
      <w:r>
        <w:rPr>
          <w:b/>
        </w:rPr>
        <w:t>na záchranu života a zdraví osob se omezuje do 30 % výše sjednané pojistné částky. Úhrada ostatních vynaložených zachraňovacích nákladů podle písm. a), b) tohoto odstavce se omezuje do výše 5 % ze sjednané pojistné částky.</w:t>
      </w:r>
    </w:p>
    <w:p w14:paraId="5494A25F" w14:textId="77777777" w:rsidR="00255059" w:rsidRDefault="00874B43">
      <w:pPr>
        <w:numPr>
          <w:ilvl w:val="0"/>
          <w:numId w:val="9"/>
        </w:numPr>
        <w:ind w:right="24" w:hanging="340"/>
      </w:pPr>
      <w:r>
        <w:rPr>
          <w:b/>
        </w:rPr>
        <w:t>Náklady na vyproštění, dopravu a uskladnění poškozeného vozidla pojistitel uhradí do výše 10 % z obecné ceny vozidla platné v České republice, pokud byly účelně vynaloženy na přemístění poškozeného pojištěného vozidla, a to z místa škodné události do místa opravy vozidla, nejdále však do místa trvalého bydliště nebo sídla provozovatele pojištěného vozidla.</w:t>
      </w:r>
    </w:p>
    <w:p w14:paraId="6526093A" w14:textId="77777777" w:rsidR="00255059" w:rsidRDefault="00874B43">
      <w:pPr>
        <w:numPr>
          <w:ilvl w:val="0"/>
          <w:numId w:val="9"/>
        </w:numPr>
        <w:spacing w:after="0" w:line="250" w:lineRule="auto"/>
        <w:ind w:right="24" w:hanging="340"/>
      </w:pPr>
      <w:r>
        <w:t>Pokud není v těchto pojistných podmínkách nebo v pojistné smlouvě uvedeno jinak, je opotřebení uplatňováno pouze v případech: a) totální škody,</w:t>
      </w:r>
    </w:p>
    <w:p w14:paraId="7F3CD36D" w14:textId="77777777" w:rsidR="00255059" w:rsidRDefault="00874B43">
      <w:pPr>
        <w:numPr>
          <w:ilvl w:val="1"/>
          <w:numId w:val="10"/>
        </w:numPr>
        <w:ind w:right="376" w:hanging="340"/>
      </w:pPr>
      <w:r>
        <w:t>škody na dodatečné výbavě vozidla,</w:t>
      </w:r>
    </w:p>
    <w:p w14:paraId="5B88093D" w14:textId="77777777" w:rsidR="00255059" w:rsidRDefault="00874B43">
      <w:pPr>
        <w:numPr>
          <w:ilvl w:val="1"/>
          <w:numId w:val="10"/>
        </w:numPr>
        <w:ind w:right="376" w:hanging="340"/>
      </w:pPr>
      <w:r>
        <w:t>škody na akumulátoru, pneumatikách, výfukovém potrubí včetně lambda sondy a katalyzátoru, audio či audiovizuální výbavě a navigačních zařízeních.</w:t>
      </w:r>
    </w:p>
    <w:p w14:paraId="0CD740C1" w14:textId="77777777" w:rsidR="00255059" w:rsidRDefault="00874B43">
      <w:pPr>
        <w:numPr>
          <w:ilvl w:val="0"/>
          <w:numId w:val="9"/>
        </w:numPr>
        <w:ind w:right="24" w:hanging="340"/>
      </w:pPr>
      <w:r>
        <w:rPr>
          <w:b/>
        </w:rPr>
        <w:t>Předmětem pojistného plnění nejsou nepřímé škody všeho druhu (např. ušlý zisk, ušlý výdělek, nemožnost používat pojištěnou věc) a vedlejší výlohy (např. expresní příplatky jakéhokoliv druhu, náklady právního zastoupení apod.), pokud není ujednáno jinak.</w:t>
      </w:r>
    </w:p>
    <w:p w14:paraId="38DBEC8D" w14:textId="77777777" w:rsidR="00255059" w:rsidRDefault="00874B43">
      <w:pPr>
        <w:numPr>
          <w:ilvl w:val="0"/>
          <w:numId w:val="9"/>
        </w:numPr>
        <w:ind w:right="24" w:hanging="340"/>
      </w:pPr>
      <w:r>
        <w:t>V případě vyčerpání sjednané pojistné částky uhradí pojistitel účelně vynaložené náklady ve výši dle odst. 10 tohoto článku nad rámec této částky.</w:t>
      </w:r>
    </w:p>
    <w:p w14:paraId="680EBF27" w14:textId="77777777" w:rsidR="00255059" w:rsidRDefault="00874B43">
      <w:pPr>
        <w:numPr>
          <w:ilvl w:val="0"/>
          <w:numId w:val="9"/>
        </w:numPr>
        <w:ind w:right="24" w:hanging="340"/>
      </w:pPr>
      <w:r>
        <w:t>Pojistitel uhradí ostatní náklady pouze tehdy, vydal-li k nim písemný pokyn.</w:t>
      </w:r>
    </w:p>
    <w:p w14:paraId="18C82485" w14:textId="77777777" w:rsidR="00255059" w:rsidRDefault="00874B43">
      <w:pPr>
        <w:numPr>
          <w:ilvl w:val="0"/>
          <w:numId w:val="9"/>
        </w:numPr>
        <w:ind w:right="24" w:hanging="340"/>
      </w:pPr>
      <w:r>
        <w:t xml:space="preserve">Pokud je pojistná částka v době pojistné události nižší než nová cena vozidla, použije se pro určení výše pojistného plnění částka odpovídající výši škody snížená v poměru, v jakém je v době vzniku pojistné události pojistná částka k nové ceně vozidla. Pojistitel však toto snížení oprávněn provádět není, jestliže byl ve výpočtu pojistného uplatněn koeficient korekce pojistné částky podle čl. 4, odst. 3 těchto podmínek, </w:t>
      </w:r>
      <w:proofErr w:type="gramStart"/>
      <w:r>
        <w:t>a nebo</w:t>
      </w:r>
      <w:proofErr w:type="gramEnd"/>
      <w:r>
        <w:t xml:space="preserve"> v případech, kdy je pojišťováno vozidlo nové.</w:t>
      </w:r>
    </w:p>
    <w:p w14:paraId="512DC4A1" w14:textId="77777777" w:rsidR="00255059" w:rsidRDefault="00874B43">
      <w:pPr>
        <w:numPr>
          <w:ilvl w:val="0"/>
          <w:numId w:val="9"/>
        </w:numPr>
        <w:spacing w:after="357"/>
        <w:ind w:right="24" w:hanging="340"/>
      </w:pPr>
      <w:r>
        <w:rPr>
          <w:b/>
        </w:rPr>
        <w:t>Pojistné plnění za jednu škodní událost nesmí přesáhnout pojistnou částku uvedenou ve smlouvě pro toto vozidlo. Je-li pojištění sjednáno na dobu kratší jednoho roku, nesmí částka vyplacená za všechny škody přesáhnout sjednanou pojistnou částku uvedenou ve smlouvě pro toto vozidlo.</w:t>
      </w:r>
    </w:p>
    <w:p w14:paraId="63DD24CF" w14:textId="77777777" w:rsidR="00255059" w:rsidRDefault="00874B43">
      <w:pPr>
        <w:pStyle w:val="Nadpis1"/>
        <w:ind w:left="-5"/>
      </w:pPr>
      <w:r>
        <w:t>Článek 7</w:t>
      </w:r>
    </w:p>
    <w:p w14:paraId="35DA0E9D" w14:textId="77777777" w:rsidR="00255059" w:rsidRDefault="00874B43">
      <w:pPr>
        <w:pStyle w:val="Nadpis2"/>
        <w:ind w:left="-5"/>
      </w:pPr>
      <w:r>
        <w:t>Spoluúčast</w:t>
      </w:r>
    </w:p>
    <w:p w14:paraId="096F68B7" w14:textId="77777777" w:rsidR="00255059" w:rsidRDefault="00874B43">
      <w:pPr>
        <w:numPr>
          <w:ilvl w:val="0"/>
          <w:numId w:val="11"/>
        </w:numPr>
        <w:ind w:right="24" w:hanging="340"/>
      </w:pPr>
      <w:r>
        <w:t>Není-li ve smlouvě uvedeno jinak, každé vozidlo je pojištěno se spoluúčastí na každé pojistné události. Výše spoluúčasti je uvedena v pojistné smlouvě a v případě pojistné události se odečítá od pojistného plnění.</w:t>
      </w:r>
    </w:p>
    <w:p w14:paraId="1210F97E" w14:textId="77777777" w:rsidR="00255059" w:rsidRDefault="00874B43">
      <w:pPr>
        <w:numPr>
          <w:ilvl w:val="0"/>
          <w:numId w:val="11"/>
        </w:numPr>
        <w:ind w:right="24" w:hanging="340"/>
      </w:pPr>
      <w:r>
        <w:lastRenderedPageBreak/>
        <w:t>Pro všechna pojistná nebezpečí pojištění KASKO platí stejná spoluúčast, není-li v pojistné smlouvě nebo dále výslovně uvedeno jinak. Výše sjednané spoluúčasti je určena dvěma hodnotami:</w:t>
      </w:r>
    </w:p>
    <w:p w14:paraId="3040156A" w14:textId="77777777" w:rsidR="00255059" w:rsidRDefault="00874B43">
      <w:pPr>
        <w:numPr>
          <w:ilvl w:val="1"/>
          <w:numId w:val="11"/>
        </w:numPr>
        <w:ind w:right="24" w:hanging="340"/>
      </w:pPr>
      <w:r>
        <w:t>minimální spoluúčastí a</w:t>
      </w:r>
    </w:p>
    <w:p w14:paraId="258257A7" w14:textId="77777777" w:rsidR="00255059" w:rsidRDefault="00874B43">
      <w:pPr>
        <w:numPr>
          <w:ilvl w:val="1"/>
          <w:numId w:val="11"/>
        </w:numPr>
        <w:ind w:right="24" w:hanging="340"/>
      </w:pPr>
      <w:r>
        <w:t>spoluúčastí z pojistného plnění.</w:t>
      </w:r>
    </w:p>
    <w:p w14:paraId="14697AD6" w14:textId="77777777" w:rsidR="00255059" w:rsidRDefault="00874B43">
      <w:pPr>
        <w:ind w:left="335" w:right="24"/>
      </w:pPr>
      <w:r>
        <w:t>Konečná výše této spoluúčasti je stanovena až v době pojistné události jako výsledná hodnota vzniklá porovnáním spoluúčasti minimální a spoluúčasti z pojistného plnění.</w:t>
      </w:r>
    </w:p>
    <w:p w14:paraId="2D9A1D10" w14:textId="77777777" w:rsidR="00255059" w:rsidRDefault="00874B43">
      <w:pPr>
        <w:numPr>
          <w:ilvl w:val="0"/>
          <w:numId w:val="11"/>
        </w:numPr>
        <w:ind w:right="24" w:hanging="340"/>
      </w:pPr>
      <w:r>
        <w:rPr>
          <w:b/>
        </w:rPr>
        <w:t>Není-li ve smlouvě uvedeno jinak, sjednaná spoluúčast se automaticky zvyšuje:</w:t>
      </w:r>
    </w:p>
    <w:p w14:paraId="0C59C6EF" w14:textId="77777777" w:rsidR="00255059" w:rsidRDefault="00874B43">
      <w:pPr>
        <w:numPr>
          <w:ilvl w:val="1"/>
          <w:numId w:val="12"/>
        </w:numPr>
        <w:ind w:right="111" w:hanging="340"/>
      </w:pPr>
      <w:r>
        <w:rPr>
          <w:b/>
        </w:rPr>
        <w:t>na dvojnásobek za každé chybějící dodatečně montované zabezpečovací zařízení, uvedené v pojistné smlouvě. Zvýšením spoluúčasti není dotčeno právo pojistitele přiměřeně snížit pojistné plnění v souladu s platnými právními předpisy (bylo-li chybějící nebo nefunkční zabezpečení ve smlouvě uvedeno jako povinné a zároveň za něho pojistitel poskytl slevu).</w:t>
      </w:r>
    </w:p>
    <w:p w14:paraId="6B316350" w14:textId="77777777" w:rsidR="00255059" w:rsidRDefault="00874B43">
      <w:pPr>
        <w:numPr>
          <w:ilvl w:val="1"/>
          <w:numId w:val="12"/>
        </w:numPr>
        <w:ind w:right="111" w:hanging="340"/>
      </w:pPr>
      <w:r>
        <w:rPr>
          <w:b/>
        </w:rPr>
        <w:t>na 50 % z pojistného plnění pro nákladní vozidla, tj. vozidla s celkovou hmotností vyšší než 3500 kg, došlo-li k odcizení na území států vzniklých z evropské části bývalé SSSR; stejná spoluúčast bude odečtena i v případě přívěsů či návěsů pro tato vozidla, došlo-li k jejich odcizení na území těchto států.</w:t>
      </w:r>
    </w:p>
    <w:p w14:paraId="60BBDF82" w14:textId="77777777" w:rsidR="00255059" w:rsidRDefault="00874B43">
      <w:pPr>
        <w:numPr>
          <w:ilvl w:val="1"/>
          <w:numId w:val="12"/>
        </w:numPr>
        <w:ind w:right="111" w:hanging="340"/>
      </w:pPr>
      <w:r>
        <w:rPr>
          <w:b/>
        </w:rPr>
        <w:t>na dvojnásobek za řízení vozidla osobou odlišnou od řidičů, uvedených v pojistné smlouvě, v případech, kdy si pojistitel při sjednání pojištění vyžádal specifikaci konkrétních řidičů.</w:t>
      </w:r>
    </w:p>
    <w:p w14:paraId="227A6A5A" w14:textId="77777777" w:rsidR="00255059" w:rsidRDefault="00874B43">
      <w:pPr>
        <w:numPr>
          <w:ilvl w:val="0"/>
          <w:numId w:val="11"/>
        </w:numPr>
        <w:spacing w:after="357"/>
        <w:ind w:right="24" w:hanging="340"/>
      </w:pPr>
      <w:r>
        <w:t>Pojistitel může rozhodnout o neuplatnění spoluúčasti v případě pojistné události prokazatelně zaviněné třetí osobou, vůči níž lze uplatnit regres.</w:t>
      </w:r>
    </w:p>
    <w:p w14:paraId="4D4EB64B" w14:textId="77777777" w:rsidR="00255059" w:rsidRDefault="00874B43">
      <w:pPr>
        <w:pStyle w:val="Nadpis1"/>
        <w:ind w:left="-5"/>
      </w:pPr>
      <w:r>
        <w:t>Článek 8</w:t>
      </w:r>
    </w:p>
    <w:p w14:paraId="5FB42C8B" w14:textId="77777777" w:rsidR="00255059" w:rsidRDefault="00874B43">
      <w:pPr>
        <w:pStyle w:val="Nadpis2"/>
        <w:spacing w:after="0"/>
        <w:ind w:left="0" w:firstLine="0"/>
      </w:pPr>
      <w:r>
        <w:rPr>
          <w:sz w:val="20"/>
        </w:rPr>
        <w:t>Využitelné zbytky a nález vozidla</w:t>
      </w:r>
    </w:p>
    <w:p w14:paraId="1E1DAD69" w14:textId="77777777" w:rsidR="00255059" w:rsidRDefault="00874B43">
      <w:pPr>
        <w:numPr>
          <w:ilvl w:val="0"/>
          <w:numId w:val="13"/>
        </w:numPr>
        <w:ind w:right="24" w:hanging="340"/>
      </w:pPr>
      <w:r>
        <w:t>Nebylo-li před výplatou pojistného plnění s pojistitelem písemně dohodnuto jinak, zůstávají při škodě na vozidle pojištěnému původní části, součásti i případně vrak vozidla poškozeného pojistnou událostí, přičemž hodnota těchto využitelných zbytků stanovená pojistitelem bude vždy odečtena od pojistného plnění.</w:t>
      </w:r>
    </w:p>
    <w:p w14:paraId="7392519C" w14:textId="77777777" w:rsidR="00255059" w:rsidRDefault="00874B43">
      <w:pPr>
        <w:numPr>
          <w:ilvl w:val="0"/>
          <w:numId w:val="13"/>
        </w:numPr>
        <w:ind w:right="24" w:hanging="340"/>
      </w:pPr>
      <w:r>
        <w:t>Zjistí-li po pojistné události spočívající v odcizení pojištěného vozidla pojistník či oprávněná osoba, že vozidlo bylo nalezeno, oznámí tuto skutečnost bez zbytečného odkladu pojistiteli.</w:t>
      </w:r>
    </w:p>
    <w:p w14:paraId="4F51BDEA" w14:textId="77777777" w:rsidR="00255059" w:rsidRDefault="00874B43">
      <w:pPr>
        <w:numPr>
          <w:ilvl w:val="0"/>
          <w:numId w:val="13"/>
        </w:numPr>
        <w:ind w:right="24" w:hanging="340"/>
      </w:pPr>
      <w:r>
        <w:t>Poskytl-li pojistitel pojistníkovi či oprávněné osobě po vzniku této pojistné události pojistné plnění, nepřechází na něho vlastnické právo k pojištěnému majetku, ale má právo na vydání toho, co na pojistném plnění poskytl.</w:t>
      </w:r>
    </w:p>
    <w:p w14:paraId="0DEF97BF" w14:textId="77777777" w:rsidR="00255059" w:rsidRDefault="00874B43">
      <w:pPr>
        <w:numPr>
          <w:ilvl w:val="0"/>
          <w:numId w:val="13"/>
        </w:numPr>
        <w:spacing w:after="357"/>
        <w:ind w:right="24" w:hanging="340"/>
      </w:pPr>
      <w:r>
        <w:t>Povinnost dle předchozího odstavce však pojistníkovi či oprávněné osobě nevznikne, pokud pojistitel zprostředkuje prodej nalezeného vozidla a pojištěný poskytne pojistiteli nezbytnou součinnost nutnou pro zajištění prodeje.</w:t>
      </w:r>
    </w:p>
    <w:p w14:paraId="3B9D36C8" w14:textId="77777777" w:rsidR="00255059" w:rsidRDefault="00874B43">
      <w:pPr>
        <w:pStyle w:val="Nadpis1"/>
        <w:ind w:left="-5"/>
      </w:pPr>
      <w:r>
        <w:t>Článek 9</w:t>
      </w:r>
    </w:p>
    <w:p w14:paraId="194B5992" w14:textId="77777777" w:rsidR="00255059" w:rsidRDefault="00874B43">
      <w:pPr>
        <w:pStyle w:val="Nadpis2"/>
        <w:ind w:left="-5"/>
      </w:pPr>
      <w:r>
        <w:t>Výplata pojistného plnění</w:t>
      </w:r>
    </w:p>
    <w:p w14:paraId="7AB7F161" w14:textId="77777777" w:rsidR="00255059" w:rsidRDefault="00874B43">
      <w:pPr>
        <w:numPr>
          <w:ilvl w:val="0"/>
          <w:numId w:val="14"/>
        </w:numPr>
        <w:ind w:right="24" w:hanging="340"/>
      </w:pPr>
      <w:r>
        <w:t xml:space="preserve">Je-li poškozené vozidlo opravováno ve smluvní opravně </w:t>
      </w:r>
      <w:proofErr w:type="gramStart"/>
      <w:r>
        <w:t>pojistitele</w:t>
      </w:r>
      <w:proofErr w:type="gramEnd"/>
      <w:r>
        <w:t xml:space="preserve"> resp. v opravně určené pojistitelem, může pojistitel uhradit pojistné plnění přímo na účet této opravny. </w:t>
      </w:r>
      <w:r>
        <w:rPr>
          <w:b/>
        </w:rPr>
        <w:t xml:space="preserve">Případné rozdíly ve výši poskytnutého plnění pojistitelem a nároky opravny za opravu uhradí </w:t>
      </w:r>
      <w:proofErr w:type="gramStart"/>
      <w:r>
        <w:rPr>
          <w:b/>
        </w:rPr>
        <w:t>pojistník</w:t>
      </w:r>
      <w:proofErr w:type="gramEnd"/>
      <w:r>
        <w:rPr>
          <w:b/>
        </w:rPr>
        <w:t xml:space="preserve"> resp. objednavatel opravy.</w:t>
      </w:r>
    </w:p>
    <w:p w14:paraId="7DB4110B" w14:textId="77777777" w:rsidR="00255059" w:rsidRDefault="00874B43">
      <w:pPr>
        <w:numPr>
          <w:ilvl w:val="0"/>
          <w:numId w:val="14"/>
        </w:numPr>
        <w:ind w:right="24" w:hanging="340"/>
      </w:pPr>
      <w:r>
        <w:t>Je-li vozidlo opravováno v jiné (nesmluvní) opravně, pojistné plnění vypočtené jako náklady na opravu je pojistitelem uhrazeno za předpokladu, že mu budou předloženy faktury za opravu.</w:t>
      </w:r>
    </w:p>
    <w:p w14:paraId="7FFEC81B" w14:textId="77777777" w:rsidR="00255059" w:rsidRDefault="00874B43">
      <w:pPr>
        <w:numPr>
          <w:ilvl w:val="0"/>
          <w:numId w:val="14"/>
        </w:numPr>
        <w:ind w:right="24" w:hanging="340"/>
      </w:pPr>
      <w:r>
        <w:t>Pojistná plnění bez předložení faktur (plnění rozpočtem) jsou uhrazena v souladu s čl. 6 těchto VPP v případech: a) totální škody,</w:t>
      </w:r>
    </w:p>
    <w:p w14:paraId="6C4FB069" w14:textId="77777777" w:rsidR="00255059" w:rsidRDefault="00874B43">
      <w:pPr>
        <w:numPr>
          <w:ilvl w:val="1"/>
          <w:numId w:val="14"/>
        </w:numPr>
        <w:ind w:right="24" w:hanging="340"/>
      </w:pPr>
      <w:r>
        <w:t>kdy pojištěný prodá vozidlo v poškozeném stavu třetí osobě a prokáže tuto skutečnost pojistiteli kupní smlouvou a kopií technického průkazu s vyznačeným převodem,</w:t>
      </w:r>
    </w:p>
    <w:p w14:paraId="482FAF0B" w14:textId="77777777" w:rsidR="00255059" w:rsidRDefault="00874B43">
      <w:pPr>
        <w:numPr>
          <w:ilvl w:val="1"/>
          <w:numId w:val="14"/>
        </w:numPr>
        <w:ind w:right="24" w:hanging="340"/>
      </w:pPr>
      <w:r>
        <w:t>bylo-li tak s pojistitelem dohodnuto.</w:t>
      </w:r>
    </w:p>
    <w:p w14:paraId="685B1F6C" w14:textId="77777777" w:rsidR="00255059" w:rsidRDefault="00874B43">
      <w:pPr>
        <w:numPr>
          <w:ilvl w:val="0"/>
          <w:numId w:val="14"/>
        </w:numPr>
        <w:ind w:right="24" w:hanging="340"/>
      </w:pPr>
      <w:r>
        <w:t xml:space="preserve">Podle bodu 3 nelze postupovat (nelze uhradit formou rozpočtu) při odcizení nebo zničení spínací skřínky, zámků vozidla, vnějšího osvětlení vozu, snadno demontovatelných prvků interiéru, </w:t>
      </w:r>
      <w:proofErr w:type="gramStart"/>
      <w:r>
        <w:t>a nebo</w:t>
      </w:r>
      <w:proofErr w:type="gramEnd"/>
      <w:r>
        <w:t xml:space="preserve"> bezpečnostních prvků vozidla, např. airbagy, bezpečnostní pásy, zabezpečovací zařízení, řídící jednotky apod. To znamená, že podmínkou pojistitele pro úhradu pojistného plnění za tyto díly je doložení faktur za jejich znovupořízení.</w:t>
      </w:r>
    </w:p>
    <w:p w14:paraId="0AD157B1" w14:textId="77777777" w:rsidR="00255059" w:rsidRDefault="00874B43">
      <w:pPr>
        <w:numPr>
          <w:ilvl w:val="0"/>
          <w:numId w:val="14"/>
        </w:numPr>
        <w:spacing w:after="357"/>
        <w:ind w:right="24" w:hanging="340"/>
      </w:pPr>
      <w:r>
        <w:t xml:space="preserve">Je-li poskytováno plnění podle odstavce 3 tohoto článku (plnění rozpočtem), používá pojistitel vždy ceny nových náhradních dílů; jsou-li k dispozici, použije pojistitel cen dílů kvalitativně rovnocenných, dodávaných na trh nezávislými distributory a hodinových sazeb stanovených pojistitelem pro opravy svépomocí, tyto sazby jsou zveřejňovány na </w:t>
      </w:r>
      <w:hyperlink r:id="rId8">
        <w:r>
          <w:rPr>
            <w:b/>
            <w:color w:val="005CA9"/>
          </w:rPr>
          <w:t>www.uniqa.cz</w:t>
        </w:r>
      </w:hyperlink>
      <w:r>
        <w:t>.</w:t>
      </w:r>
    </w:p>
    <w:p w14:paraId="1C1DD288" w14:textId="77777777" w:rsidR="00255059" w:rsidRDefault="00874B43">
      <w:pPr>
        <w:pStyle w:val="Nadpis1"/>
        <w:ind w:left="-5"/>
      </w:pPr>
      <w:r>
        <w:t>Článek 10</w:t>
      </w:r>
    </w:p>
    <w:p w14:paraId="3F226BD8" w14:textId="77777777" w:rsidR="00255059" w:rsidRDefault="00874B43">
      <w:pPr>
        <w:pStyle w:val="Nadpis2"/>
        <w:ind w:left="-5"/>
      </w:pPr>
      <w:r>
        <w:t>Přechod práv a povinností</w:t>
      </w:r>
    </w:p>
    <w:p w14:paraId="26901F67" w14:textId="77777777" w:rsidR="00255059" w:rsidRDefault="00874B43">
      <w:pPr>
        <w:numPr>
          <w:ilvl w:val="0"/>
          <w:numId w:val="15"/>
        </w:numPr>
        <w:ind w:right="75" w:hanging="340"/>
      </w:pPr>
      <w:r>
        <w:t xml:space="preserve">Při úmrtí vlastníka vozidla vykonává povinnost vlastníka vozidla podle zákona jeho dědic, v případě více dědiců ten, který k tomu byl ostatními dědici pověřen, nebyl-li nikdo pověřen, pak tyto povinnosti vykonává soudem </w:t>
      </w:r>
      <w:r>
        <w:lastRenderedPageBreak/>
        <w:t>určený správce dědictví. Do doby nabytí právní moci usnesení o nabytí dědictví přecházejí práva a povinnosti z pojištění na dědice společně a nerozdílně. V případě zániku právnické osoby povinnosti vlastníka vozidla podle zákona vykonává její právní nástupce, zaniká-li právnická osoba bez právního nástupce, likvidátor, je-li tato osoba v konkursu, správce podstaty.</w:t>
      </w:r>
    </w:p>
    <w:p w14:paraId="02117568" w14:textId="77777777" w:rsidR="00255059" w:rsidRDefault="00874B43">
      <w:pPr>
        <w:numPr>
          <w:ilvl w:val="0"/>
          <w:numId w:val="15"/>
        </w:numPr>
        <w:spacing w:after="357"/>
        <w:ind w:right="75" w:hanging="340"/>
      </w:pPr>
      <w:r>
        <w:t>Zaniklo-li společné jmění manželů (dále jen SJM) smrtí nebo prohlášením za mrtvého toho z manželů, který uzavřel pojistnou smlouvu o pojištění vozidla patřícího do SJM, vstupuje do pojištění na jeho místo pozůstalý manžel/</w:t>
      </w:r>
      <w:proofErr w:type="spellStart"/>
      <w:r>
        <w:t>ka</w:t>
      </w:r>
      <w:proofErr w:type="spellEnd"/>
      <w:r>
        <w:t>, pokud je nadále vlastníkem nebo spoluvlastníkem vozidla. Zanikne-li SJM jinak, považuje se za toho, kdo uzavřel pojistnou smlouvu, ten z manželů, kterému pojištěné vozidlo připadlo v rámci vypořádání SJM.</w:t>
      </w:r>
    </w:p>
    <w:p w14:paraId="72D1D917" w14:textId="77777777" w:rsidR="00255059" w:rsidRDefault="00874B43">
      <w:pPr>
        <w:pStyle w:val="Nadpis1"/>
        <w:ind w:left="-5"/>
      </w:pPr>
      <w:r>
        <w:t>Článek 11</w:t>
      </w:r>
    </w:p>
    <w:p w14:paraId="77823E0B" w14:textId="77777777" w:rsidR="00255059" w:rsidRDefault="00874B43">
      <w:pPr>
        <w:pStyle w:val="Nadpis2"/>
        <w:ind w:left="-5"/>
      </w:pPr>
      <w:r>
        <w:t>Povinnosti pojistníka (pojištěného a oprávněné osoby)</w:t>
      </w:r>
    </w:p>
    <w:p w14:paraId="5A93121F" w14:textId="77777777" w:rsidR="00255059" w:rsidRDefault="00874B43">
      <w:pPr>
        <w:numPr>
          <w:ilvl w:val="0"/>
          <w:numId w:val="16"/>
        </w:numPr>
        <w:ind w:right="24" w:hanging="340"/>
      </w:pPr>
      <w:r>
        <w:t>Kromě povinností stanovených v pojistných podmínkách UCZ/15 a UCZ/Voz/24 je pojistník (pojištěný a oprávněná osoba) dále povinen:</w:t>
      </w:r>
    </w:p>
    <w:p w14:paraId="572B1F47" w14:textId="77777777" w:rsidR="00255059" w:rsidRDefault="00874B43">
      <w:pPr>
        <w:numPr>
          <w:ilvl w:val="1"/>
          <w:numId w:val="16"/>
        </w:numPr>
        <w:ind w:right="93" w:hanging="340"/>
      </w:pPr>
      <w:r>
        <w:t>dodržovat právní předpisy upravující provoz na pozemních komunikacích a podmínky provozu vozidel a podmínky smluvního vztahu s pojistitelem.</w:t>
      </w:r>
    </w:p>
    <w:p w14:paraId="2C5BD5D7" w14:textId="77777777" w:rsidR="00255059" w:rsidRDefault="00874B43">
      <w:pPr>
        <w:numPr>
          <w:ilvl w:val="1"/>
          <w:numId w:val="16"/>
        </w:numPr>
        <w:ind w:right="93" w:hanging="340"/>
      </w:pPr>
      <w:r>
        <w:t xml:space="preserve">Pojistník (pojištěný) je povinen seznámit s povinnostmi, uvedenými v tomto článku, osobu, které </w:t>
      </w:r>
      <w:proofErr w:type="gramStart"/>
      <w:r>
        <w:t>svěří</w:t>
      </w:r>
      <w:proofErr w:type="gramEnd"/>
      <w:r>
        <w:t xml:space="preserve"> vozidlo k užití nebo užívání (oprávněná osoba).</w:t>
      </w:r>
    </w:p>
    <w:p w14:paraId="5A2753EC" w14:textId="77777777" w:rsidR="00255059" w:rsidRDefault="00874B43">
      <w:pPr>
        <w:numPr>
          <w:ilvl w:val="1"/>
          <w:numId w:val="16"/>
        </w:numPr>
        <w:ind w:right="93" w:hanging="340"/>
      </w:pPr>
      <w:r>
        <w:t>Pojistník (pojištěný či oprávněná osoba) je dále povinen:</w:t>
      </w:r>
    </w:p>
    <w:p w14:paraId="31CB7521" w14:textId="77777777" w:rsidR="00255059" w:rsidRDefault="00874B43">
      <w:pPr>
        <w:numPr>
          <w:ilvl w:val="3"/>
          <w:numId w:val="20"/>
        </w:numPr>
        <w:ind w:left="963" w:right="286" w:hanging="283"/>
      </w:pPr>
      <w:r>
        <w:t>udržovat pojištěné vozidlo v řádném technickém a výrobcem předepsaném stavu,</w:t>
      </w:r>
    </w:p>
    <w:p w14:paraId="65593825" w14:textId="77777777" w:rsidR="00255059" w:rsidRDefault="00874B43">
      <w:pPr>
        <w:numPr>
          <w:ilvl w:val="3"/>
          <w:numId w:val="20"/>
        </w:numPr>
        <w:ind w:left="963" w:right="286" w:hanging="283"/>
      </w:pPr>
      <w:r>
        <w:t>vozidlo vybavit zabezpečovacím zařízením uvedeným ve smlouvě a po celou dobu pojištění vozidlo a veškeré jeho zabezpečovací zařízení udržovat v provozuschopném stavu (vyžaduje-li to povaha tohoto zařízení) dle pokynů výrobce,</w:t>
      </w:r>
    </w:p>
    <w:p w14:paraId="2ACBD662" w14:textId="77777777" w:rsidR="00255059" w:rsidRDefault="00874B43">
      <w:pPr>
        <w:numPr>
          <w:ilvl w:val="3"/>
          <w:numId w:val="20"/>
        </w:numPr>
        <w:ind w:left="963" w:right="286" w:hanging="283"/>
      </w:pPr>
      <w:r>
        <w:t>doložit pojistiteli doklady o vybavení zabezpečovacím zařízením před vznikem pojistné události. Jinak je pojistitel oprávněn považovat dodatečné zabezpečení vozu za neprokázané.</w:t>
      </w:r>
    </w:p>
    <w:p w14:paraId="68EC3980" w14:textId="77777777" w:rsidR="00255059" w:rsidRDefault="00874B43">
      <w:pPr>
        <w:numPr>
          <w:ilvl w:val="3"/>
          <w:numId w:val="20"/>
        </w:numPr>
        <w:ind w:left="963" w:right="286" w:hanging="283"/>
      </w:pPr>
      <w:r>
        <w:t>při každém opuštění vozidla uvádět veškeré jeho zabezpečení v činnost tak, aby bylo funkční po celou dobu opuštění vozidla,</w:t>
      </w:r>
    </w:p>
    <w:p w14:paraId="4966E3C7" w14:textId="77777777" w:rsidR="00255059" w:rsidRDefault="00874B43">
      <w:pPr>
        <w:numPr>
          <w:ilvl w:val="3"/>
          <w:numId w:val="20"/>
        </w:numPr>
        <w:ind w:left="963" w:right="286" w:hanging="283"/>
      </w:pPr>
      <w:r>
        <w:t>zajistit výměnu všech dotčených zámků, jestliže dojde ke ztrátě nebo odcizení jednoho a více klíčů; v případě odcizení vozidla předat všechny klíče a ovládání od vozidla a jeho zabezpečení, pokud si jej pojistitel vyžádá,</w:t>
      </w:r>
    </w:p>
    <w:p w14:paraId="0B3D21F0" w14:textId="77777777" w:rsidR="00255059" w:rsidRDefault="00874B43">
      <w:pPr>
        <w:numPr>
          <w:ilvl w:val="3"/>
          <w:numId w:val="20"/>
        </w:numPr>
        <w:ind w:left="963" w:right="286" w:hanging="283"/>
      </w:pPr>
      <w:r>
        <w:t>bez zbytečného odkladu oznámit pojistiteli, že předmět pojištění je pojištěn pro stejný případ u jiného pojistitele,</w:t>
      </w:r>
    </w:p>
    <w:p w14:paraId="434BA318" w14:textId="77777777" w:rsidR="00255059" w:rsidRDefault="00874B43">
      <w:pPr>
        <w:numPr>
          <w:ilvl w:val="3"/>
          <w:numId w:val="20"/>
        </w:numPr>
        <w:ind w:left="963" w:right="286" w:hanging="283"/>
      </w:pPr>
      <w:r>
        <w:t>pokud dojde ke škodné události, učinit taková opatření, aby nastalá škoda, vzniklá touto událostí nebo v souvislosti s ní, byla co nejmenší,</w:t>
      </w:r>
    </w:p>
    <w:p w14:paraId="47BC9E52" w14:textId="77777777" w:rsidR="00255059" w:rsidRDefault="00874B43">
      <w:pPr>
        <w:numPr>
          <w:ilvl w:val="3"/>
          <w:numId w:val="20"/>
        </w:numPr>
        <w:ind w:left="963" w:right="286" w:hanging="283"/>
      </w:pPr>
      <w:r>
        <w:t>oznámit neprodleně příslušným policejním orgánům každou škodu:</w:t>
      </w:r>
    </w:p>
    <w:p w14:paraId="2A127806" w14:textId="77777777" w:rsidR="00255059" w:rsidRDefault="00874B43">
      <w:pPr>
        <w:numPr>
          <w:ilvl w:val="4"/>
          <w:numId w:val="21"/>
        </w:numPr>
        <w:ind w:right="24" w:hanging="283"/>
      </w:pPr>
      <w:r>
        <w:t>pokud tato povinnost vyplývá z právních předpisů,</w:t>
      </w:r>
    </w:p>
    <w:p w14:paraId="2193358E" w14:textId="77777777" w:rsidR="00255059" w:rsidRDefault="00874B43">
      <w:pPr>
        <w:numPr>
          <w:ilvl w:val="4"/>
          <w:numId w:val="21"/>
        </w:numPr>
        <w:ind w:right="24" w:hanging="283"/>
      </w:pPr>
      <w:r>
        <w:t>jestliže škoda vznikla za okolností vzbuzujících podezření z trestného činu či pokusu o něj,</w:t>
      </w:r>
    </w:p>
    <w:p w14:paraId="277A44FB" w14:textId="77777777" w:rsidR="00255059" w:rsidRDefault="00874B43">
      <w:pPr>
        <w:ind w:left="680" w:right="24" w:firstLine="0"/>
      </w:pPr>
      <w:r>
        <w:t>i) v případech, kdy na vozidle vznikla škoda, z níž bude uplatňovat právo na pojistné plnění</w:t>
      </w:r>
    </w:p>
    <w:p w14:paraId="18B51419" w14:textId="77777777" w:rsidR="00255059" w:rsidRDefault="00874B43">
      <w:pPr>
        <w:numPr>
          <w:ilvl w:val="4"/>
          <w:numId w:val="18"/>
        </w:numPr>
        <w:ind w:right="24" w:hanging="283"/>
      </w:pPr>
      <w:r>
        <w:t>poskytnout pojistiteli bez zbytečného odkladu, nejpozději do čtrnácti dnů, pravdivé informace o jejím vzniku, místě, příčině, o časových dispozicích souvisejících s nastalou škodou a o rozsahu jejích následků,</w:t>
      </w:r>
    </w:p>
    <w:p w14:paraId="75D0BE6C" w14:textId="77777777" w:rsidR="00255059" w:rsidRDefault="00874B43">
      <w:pPr>
        <w:numPr>
          <w:ilvl w:val="4"/>
          <w:numId w:val="18"/>
        </w:numPr>
        <w:ind w:right="24" w:hanging="283"/>
      </w:pPr>
      <w:r>
        <w:t xml:space="preserve">vyčkat s opravou poškozené věci nebo s odstraňováním zbytků takto zničené nebo poškozené věci na písemný pokyn </w:t>
      </w:r>
      <w:proofErr w:type="gramStart"/>
      <w:r>
        <w:t>pojistitele</w:t>
      </w:r>
      <w:proofErr w:type="gramEnd"/>
      <w:r>
        <w:t xml:space="preserve"> a to nejdéle do doby 30 dnů od nahlášení pojistné události, pokud z bezpečnostních, hygienických nebo jiných vážných důvodů není nutno s opravou nebo s odstraňováním zbytků začít neprodleně. V těchto případech je povinen zabezpečit dostatečně průkazné důkazy o rozsahu vzniklé škody uschováním věci, vyměněných poškozených dílů, fotografickým, filmovým nebo video záznamem,</w:t>
      </w:r>
    </w:p>
    <w:p w14:paraId="6426300A" w14:textId="77777777" w:rsidR="00255059" w:rsidRDefault="00874B43">
      <w:pPr>
        <w:numPr>
          <w:ilvl w:val="4"/>
          <w:numId w:val="18"/>
        </w:numPr>
        <w:ind w:right="24" w:hanging="283"/>
      </w:pPr>
      <w:r>
        <w:t>umožnit pojistiteli provést pořízení zvukové a obrazové dokumentace z místa škodné události, poškozených věcí, zabezpečovacích zařízení pro účely provedení expertního zkoumání, provést diagnostiku řídící jednotky vozidla atd.; pro případ potřeby ověření údajů pojistník prohlašuje v souladu s příslušnými ustanoveními zákona o pojišťovnictví, že souhlasí s poskytnutím údajů pojistiteli o jeho minulém či současném pojištění vedených u jiných pojišťoven nebo u právnické osoby, ve které mají majetkový podíl či v</w:t>
      </w:r>
      <w:r>
        <w:t>klad pouze pojišťovny, nebo poskytnutí údajů o jeho pojištění jiným pojistitelům.</w:t>
      </w:r>
    </w:p>
    <w:p w14:paraId="280DE4BF" w14:textId="77777777" w:rsidR="00255059" w:rsidRDefault="00874B43">
      <w:pPr>
        <w:numPr>
          <w:ilvl w:val="3"/>
          <w:numId w:val="19"/>
        </w:numPr>
        <w:ind w:left="963" w:right="24" w:hanging="283"/>
      </w:pPr>
      <w:r>
        <w:t>postupovat tak, aby pojistitel mohl vůči jinému uplatnit právo na náhradu škody způsobené pojistnou událostí a učinit opatření, aby nedošlo k promlčení nebo zániku práva na náhradu škody, písemně uplatnit právo na náhradu škody u provozovatelů poskytujících ubytovací služby, provozovatelů garáží, motorestů, autokempinků, hlídaných parkovišť aj., u nichž bylo vozidlo umístěno. Obdobně je pojištěný povinen zabezpečit pro pojistitele zachování nároku pro uplatnění práv z odpovědnosti za vady předmětu pojištění</w:t>
      </w:r>
      <w:r>
        <w:t xml:space="preserve"> vůči prodávajícímu v záruční době.</w:t>
      </w:r>
    </w:p>
    <w:p w14:paraId="380D498E" w14:textId="77777777" w:rsidR="00255059" w:rsidRDefault="00874B43">
      <w:pPr>
        <w:numPr>
          <w:ilvl w:val="3"/>
          <w:numId w:val="19"/>
        </w:numPr>
        <w:ind w:left="963" w:right="24" w:hanging="283"/>
      </w:pPr>
      <w:r>
        <w:t>zajistit uložení originálu technického průkazu a originálních (náhradních) klíčů na bezpečném místě mimo vozidlo a v případě totální škody na vozidle jej předat pojistiteli, pokud si jej pojistitel vyžádá,</w:t>
      </w:r>
    </w:p>
    <w:p w14:paraId="70CBA214" w14:textId="77777777" w:rsidR="00255059" w:rsidRDefault="00874B43">
      <w:pPr>
        <w:numPr>
          <w:ilvl w:val="3"/>
          <w:numId w:val="19"/>
        </w:numPr>
        <w:ind w:left="963" w:right="24" w:hanging="283"/>
      </w:pPr>
      <w:r>
        <w:lastRenderedPageBreak/>
        <w:t xml:space="preserve">plnit další povinnosti dohodnuté ve </w:t>
      </w:r>
      <w:proofErr w:type="gramStart"/>
      <w:r>
        <w:t>smlouvě</w:t>
      </w:r>
      <w:proofErr w:type="gramEnd"/>
      <w:r>
        <w:t xml:space="preserve"> resp. podmínkách pojištění.</w:t>
      </w:r>
    </w:p>
    <w:p w14:paraId="4F15BCC5" w14:textId="77777777" w:rsidR="00255059" w:rsidRDefault="00874B43">
      <w:pPr>
        <w:numPr>
          <w:ilvl w:val="0"/>
          <w:numId w:val="16"/>
        </w:numPr>
        <w:ind w:right="24" w:hanging="340"/>
      </w:pPr>
      <w:r>
        <w:t>Následky porušení těchto povinností určuje článek 8 odst. 8.2 pojistných podmínek UCZ/15.</w:t>
      </w:r>
    </w:p>
    <w:p w14:paraId="0FF7B3CD" w14:textId="77777777" w:rsidR="00255059" w:rsidRDefault="00874B43">
      <w:pPr>
        <w:numPr>
          <w:ilvl w:val="0"/>
          <w:numId w:val="16"/>
        </w:numPr>
        <w:ind w:right="24" w:hanging="340"/>
      </w:pPr>
      <w:r>
        <w:t>Zjistí-li pojistník po oznámení pojistné události, že se našla odcizená či ztracená věc postižená pojistnou událostí, je povinen:</w:t>
      </w:r>
    </w:p>
    <w:p w14:paraId="2CB977F8" w14:textId="77777777" w:rsidR="00255059" w:rsidRDefault="00874B43">
      <w:pPr>
        <w:numPr>
          <w:ilvl w:val="2"/>
          <w:numId w:val="17"/>
        </w:numPr>
        <w:ind w:right="24" w:hanging="340"/>
      </w:pPr>
      <w:r>
        <w:t>tuto skutečnost neprodleně oznámit pojistiteli,</w:t>
      </w:r>
    </w:p>
    <w:p w14:paraId="623C3D48" w14:textId="77777777" w:rsidR="00255059" w:rsidRDefault="00874B43">
      <w:pPr>
        <w:numPr>
          <w:ilvl w:val="2"/>
          <w:numId w:val="17"/>
        </w:numPr>
        <w:spacing w:after="355"/>
        <w:ind w:right="24" w:hanging="340"/>
      </w:pPr>
      <w:r>
        <w:t>v souladu s článkem 8 těchto pojistných podmínek poskytnout pojistiteli potřebnou součinnost.</w:t>
      </w:r>
    </w:p>
    <w:p w14:paraId="3C07EB57" w14:textId="77777777" w:rsidR="00255059" w:rsidRDefault="00874B43">
      <w:pPr>
        <w:pStyle w:val="Nadpis1"/>
        <w:ind w:left="-5"/>
      </w:pPr>
      <w:r>
        <w:t>Článek 12</w:t>
      </w:r>
    </w:p>
    <w:p w14:paraId="16DC4FEF" w14:textId="77777777" w:rsidR="00255059" w:rsidRDefault="00874B43">
      <w:pPr>
        <w:pStyle w:val="Nadpis2"/>
        <w:ind w:left="-5"/>
      </w:pPr>
      <w:r>
        <w:t>Zvláštní ujednání pro vozidla pronajatá na leasing</w:t>
      </w:r>
    </w:p>
    <w:p w14:paraId="1CF349CF" w14:textId="77777777" w:rsidR="00255059" w:rsidRDefault="00874B43">
      <w:pPr>
        <w:numPr>
          <w:ilvl w:val="0"/>
          <w:numId w:val="22"/>
        </w:numPr>
        <w:ind w:right="76" w:hanging="340"/>
      </w:pPr>
      <w:r>
        <w:t>Při pojistné události na dodatečně namontované výbavě má nárok na pojistné plnění vlastník věci. Pro případy, že vozidlo je pojištěno v rámci hromadné (rámcové) smlouvy, se ujednává, že právo na plnění z pojistné události má vždy pojistník, pokud tento nestanoví jinak.</w:t>
      </w:r>
    </w:p>
    <w:p w14:paraId="3C6356B4" w14:textId="77777777" w:rsidR="00255059" w:rsidRDefault="00874B43">
      <w:pPr>
        <w:numPr>
          <w:ilvl w:val="0"/>
          <w:numId w:val="22"/>
        </w:numPr>
        <w:spacing w:after="357"/>
        <w:ind w:right="76" w:hanging="340"/>
      </w:pPr>
      <w:r>
        <w:t>Změnou vlastníka pojištěného vozidla pojištění nezaniká, jestliže je pojistníkem nájemce vozidla, na něhož po ukončení leasingu přechází vlastnické právo z leasingové společnosti, není-li v pojistné smlouvě uvedeno jinak.</w:t>
      </w:r>
    </w:p>
    <w:p w14:paraId="4A01FC53" w14:textId="77777777" w:rsidR="00255059" w:rsidRDefault="00874B43">
      <w:pPr>
        <w:pStyle w:val="Nadpis1"/>
        <w:ind w:left="-5"/>
      </w:pPr>
      <w:r>
        <w:t>Článek 13</w:t>
      </w:r>
    </w:p>
    <w:p w14:paraId="4939DA30" w14:textId="77777777" w:rsidR="00255059" w:rsidRDefault="00874B43">
      <w:pPr>
        <w:pStyle w:val="Nadpis2"/>
        <w:ind w:left="-5"/>
      </w:pPr>
      <w:r>
        <w:t>Výluky</w:t>
      </w:r>
    </w:p>
    <w:p w14:paraId="4B743BB4" w14:textId="77777777" w:rsidR="00255059" w:rsidRDefault="00874B43">
      <w:pPr>
        <w:numPr>
          <w:ilvl w:val="0"/>
          <w:numId w:val="23"/>
        </w:numPr>
        <w:ind w:right="0" w:hanging="340"/>
      </w:pPr>
      <w:r>
        <w:rPr>
          <w:b/>
        </w:rPr>
        <w:t>Pojištění podle těchto pojistných podmínek se nevztahuje na události:</w:t>
      </w:r>
    </w:p>
    <w:p w14:paraId="4523412E" w14:textId="77777777" w:rsidR="00255059" w:rsidRDefault="00874B43">
      <w:pPr>
        <w:numPr>
          <w:ilvl w:val="1"/>
          <w:numId w:val="23"/>
        </w:numPr>
        <w:ind w:right="0" w:hanging="340"/>
      </w:pPr>
      <w:r>
        <w:rPr>
          <w:b/>
        </w:rPr>
        <w:t>způsobené přímo nebo nepřímo povstáním, stávkami, jinými ozbrojenými konflikty a vnitrostátními nepokoji, teroristickými činy, válečnými událostmi, vojenskými policejními a úředními opatřeními, vyšší mocí, zemětřesením nebo účinky jaderné energie,</w:t>
      </w:r>
    </w:p>
    <w:p w14:paraId="748864EA" w14:textId="77777777" w:rsidR="00255059" w:rsidRDefault="00874B43">
      <w:pPr>
        <w:numPr>
          <w:ilvl w:val="1"/>
          <w:numId w:val="23"/>
        </w:numPr>
        <w:ind w:right="0" w:hanging="340"/>
      </w:pPr>
      <w:r>
        <w:rPr>
          <w:b/>
        </w:rPr>
        <w:t>při nichž došlo k poškození či zničení pneumatik, disků kol (ráfků) a to ani v případě, kdy při opravě dochází k přeměření či seřízení geometrie, krytů kol (poklic) nebo elektrického zařízení zkratem, pokud nedošlo současně i k jinému poškození, za které je pojistitel povinen plnit,</w:t>
      </w:r>
    </w:p>
    <w:p w14:paraId="2F9451BB" w14:textId="77777777" w:rsidR="00255059" w:rsidRDefault="00874B43">
      <w:pPr>
        <w:numPr>
          <w:ilvl w:val="1"/>
          <w:numId w:val="23"/>
        </w:numPr>
        <w:ind w:right="0" w:hanging="340"/>
      </w:pPr>
      <w:r>
        <w:rPr>
          <w:b/>
        </w:rPr>
        <w:t xml:space="preserve">při nichž došlo k poškození, zničení či odcizení záznamů na magnetických mediích všeho druhu </w:t>
      </w:r>
    </w:p>
    <w:p w14:paraId="68103BFD" w14:textId="77777777" w:rsidR="00255059" w:rsidRDefault="00874B43">
      <w:pPr>
        <w:ind w:left="680" w:right="0" w:firstLine="0"/>
      </w:pPr>
      <w:r>
        <w:rPr>
          <w:b/>
        </w:rPr>
        <w:t>(zvukové, obrazové, datové aj.), včetně jejich obsahu,</w:t>
      </w:r>
    </w:p>
    <w:p w14:paraId="51DA3692" w14:textId="77777777" w:rsidR="00255059" w:rsidRDefault="00874B43">
      <w:pPr>
        <w:numPr>
          <w:ilvl w:val="1"/>
          <w:numId w:val="23"/>
        </w:numPr>
        <w:ind w:right="0" w:hanging="340"/>
      </w:pPr>
      <w:r>
        <w:rPr>
          <w:b/>
        </w:rPr>
        <w:t>při nichž došlo k poškození či zničení vozidla nebo jeho části jejím funkčním namáháním, přirozeným opotřebením nebo únavou materiálu; tím se rozumí např. též drobná poškození laku vzniklá obvyklým používáním vozidla,</w:t>
      </w:r>
    </w:p>
    <w:p w14:paraId="3B6C5AD4" w14:textId="77777777" w:rsidR="00255059" w:rsidRDefault="00874B43">
      <w:pPr>
        <w:numPr>
          <w:ilvl w:val="1"/>
          <w:numId w:val="23"/>
        </w:numPr>
        <w:ind w:right="0" w:hanging="340"/>
      </w:pPr>
      <w:r>
        <w:rPr>
          <w:b/>
        </w:rPr>
        <w:t>při nichž došlo k poškození či zničení vozidla nebo jeho části v důsledku nesprávné obsluhy nebo údržby mající přímý vliv na vznik této události např.</w:t>
      </w:r>
    </w:p>
    <w:p w14:paraId="46E53E0C" w14:textId="77777777" w:rsidR="00255059" w:rsidRDefault="00874B43">
      <w:pPr>
        <w:numPr>
          <w:ilvl w:val="2"/>
          <w:numId w:val="23"/>
        </w:numPr>
        <w:ind w:left="963" w:right="0" w:hanging="283"/>
      </w:pPr>
      <w:r>
        <w:rPr>
          <w:b/>
        </w:rPr>
        <w:t>v důsledku nadměrného opotřebení pneumatik, nesplňujících podmínky provozu dle příslušného právního předpisu, či pneumatik, neschválených pro provoz pojištěného vozidla,</w:t>
      </w:r>
    </w:p>
    <w:p w14:paraId="638A33B0" w14:textId="77777777" w:rsidR="00255059" w:rsidRDefault="00874B43">
      <w:pPr>
        <w:numPr>
          <w:ilvl w:val="2"/>
          <w:numId w:val="23"/>
        </w:numPr>
        <w:ind w:left="963" w:right="0" w:hanging="283"/>
      </w:pPr>
      <w:r>
        <w:rPr>
          <w:b/>
        </w:rPr>
        <w:t>nesprávné nakládání či vykládání vozidla či uložení nákladu během jízdy,</w:t>
      </w:r>
    </w:p>
    <w:p w14:paraId="47EDE544" w14:textId="77777777" w:rsidR="00255059" w:rsidRDefault="00874B43">
      <w:pPr>
        <w:numPr>
          <w:ilvl w:val="2"/>
          <w:numId w:val="23"/>
        </w:numPr>
        <w:ind w:left="963" w:right="0" w:hanging="283"/>
      </w:pPr>
      <w:r>
        <w:rPr>
          <w:b/>
        </w:rPr>
        <w:t>jiné nesprávné činnosti analogicky odvoditelné z uvedených případů,</w:t>
      </w:r>
    </w:p>
    <w:p w14:paraId="0C8144FD" w14:textId="77777777" w:rsidR="00255059" w:rsidRDefault="00874B43">
      <w:pPr>
        <w:numPr>
          <w:ilvl w:val="1"/>
          <w:numId w:val="23"/>
        </w:numPr>
        <w:ind w:right="0" w:hanging="340"/>
      </w:pPr>
      <w:r>
        <w:rPr>
          <w:b/>
        </w:rPr>
        <w:t>kdy vozidlo bylo použito v rozporu s pokyny stanovenými výrobcem dopravního prostředku nebo k jiným účelům, než je uvedeno v pojistné smlouvě.</w:t>
      </w:r>
    </w:p>
    <w:p w14:paraId="564044DF" w14:textId="77777777" w:rsidR="00255059" w:rsidRDefault="00874B43">
      <w:pPr>
        <w:numPr>
          <w:ilvl w:val="1"/>
          <w:numId w:val="23"/>
        </w:numPr>
        <w:ind w:right="0" w:hanging="340"/>
      </w:pPr>
      <w:r>
        <w:rPr>
          <w:b/>
        </w:rPr>
        <w:t>při nichž došlo k poškození či zničení skel vozidla, pokud nedošlo současně i k jinému poškození, za které je pojistitel povinen plnit.</w:t>
      </w:r>
    </w:p>
    <w:p w14:paraId="7A9F0A3B" w14:textId="77777777" w:rsidR="00255059" w:rsidRDefault="00874B43">
      <w:pPr>
        <w:numPr>
          <w:ilvl w:val="0"/>
          <w:numId w:val="23"/>
        </w:numPr>
        <w:ind w:right="0" w:hanging="340"/>
      </w:pPr>
      <w:r>
        <w:rPr>
          <w:b/>
        </w:rPr>
        <w:t>Pokud není v pojistné smlouvě dohodnuto jinak, pojištění se dále nevztahuje na události:</w:t>
      </w:r>
    </w:p>
    <w:p w14:paraId="425876DD" w14:textId="77777777" w:rsidR="00255059" w:rsidRDefault="00874B43">
      <w:pPr>
        <w:numPr>
          <w:ilvl w:val="1"/>
          <w:numId w:val="23"/>
        </w:numPr>
        <w:ind w:right="0" w:hanging="340"/>
      </w:pPr>
      <w:r>
        <w:rPr>
          <w:b/>
        </w:rPr>
        <w:t xml:space="preserve">kdy pojištěný dopravní prostředek byl použit k takové akci, při které dochází k dosahování nejvyšší rychlosti, překonání překážek </w:t>
      </w:r>
      <w:proofErr w:type="gramStart"/>
      <w:r>
        <w:rPr>
          <w:b/>
        </w:rPr>
        <w:t>a nebo</w:t>
      </w:r>
      <w:proofErr w:type="gramEnd"/>
      <w:r>
        <w:rPr>
          <w:b/>
        </w:rPr>
        <w:t xml:space="preserve"> kdy jsou nutné zvláštní jízdní dovednosti řidiče, a nebo k výcviku pro tyto akce. Tímto se rozumí zejména závody jakéhokoliv druhu, soutěže s rychlostní vložkou, jakož i přípravné jízdy pro tyto akce.</w:t>
      </w:r>
    </w:p>
    <w:p w14:paraId="56D4D8D2" w14:textId="77777777" w:rsidR="00255059" w:rsidRDefault="00874B43">
      <w:pPr>
        <w:numPr>
          <w:ilvl w:val="1"/>
          <w:numId w:val="23"/>
        </w:numPr>
        <w:ind w:right="0" w:hanging="340"/>
      </w:pPr>
      <w:r>
        <w:rPr>
          <w:b/>
        </w:rPr>
        <w:t xml:space="preserve">způsobené výbuchem hořlavých, třaskavých látek, </w:t>
      </w:r>
      <w:proofErr w:type="gramStart"/>
      <w:r>
        <w:rPr>
          <w:b/>
        </w:rPr>
        <w:t>a nebo</w:t>
      </w:r>
      <w:proofErr w:type="gramEnd"/>
      <w:r>
        <w:rPr>
          <w:b/>
        </w:rPr>
        <w:t xml:space="preserve"> náhlým ničivým projevem tlakové síly spočívající v rozpínavosti plynů nebo par, které dopravní prostředek sám převážel (touto látkou není palivo potřebné k pohonu pojištěného dopravního prostředku),</w:t>
      </w:r>
    </w:p>
    <w:p w14:paraId="3E8ED6A4" w14:textId="77777777" w:rsidR="00255059" w:rsidRDefault="00874B43">
      <w:pPr>
        <w:numPr>
          <w:ilvl w:val="1"/>
          <w:numId w:val="23"/>
        </w:numPr>
        <w:ind w:right="0" w:hanging="340"/>
      </w:pPr>
      <w:r>
        <w:rPr>
          <w:b/>
        </w:rPr>
        <w:t>poškození či zničení vozidla nebo jeho části při jeho činnosti jako pracovního stroje,</w:t>
      </w:r>
    </w:p>
    <w:p w14:paraId="08CD3011" w14:textId="77777777" w:rsidR="00255059" w:rsidRDefault="00874B43">
      <w:pPr>
        <w:numPr>
          <w:ilvl w:val="1"/>
          <w:numId w:val="23"/>
        </w:numPr>
        <w:ind w:right="0" w:hanging="340"/>
      </w:pPr>
      <w:r>
        <w:rPr>
          <w:b/>
        </w:rPr>
        <w:t xml:space="preserve">poškození, zničení či odcizení vozidla nebo jeho části, za které je odpovědný </w:t>
      </w:r>
      <w:proofErr w:type="spellStart"/>
      <w:r>
        <w:rPr>
          <w:b/>
        </w:rPr>
        <w:t>opravce</w:t>
      </w:r>
      <w:proofErr w:type="spellEnd"/>
      <w:r>
        <w:rPr>
          <w:b/>
        </w:rPr>
        <w:t xml:space="preserve"> nebo dodavatel ze zákona či ze smlouvy,</w:t>
      </w:r>
    </w:p>
    <w:p w14:paraId="42B9B186" w14:textId="77777777" w:rsidR="00255059" w:rsidRDefault="00874B43">
      <w:pPr>
        <w:numPr>
          <w:ilvl w:val="1"/>
          <w:numId w:val="23"/>
        </w:numPr>
        <w:ind w:right="0" w:hanging="340"/>
      </w:pPr>
      <w:r>
        <w:rPr>
          <w:b/>
        </w:rPr>
        <w:t xml:space="preserve">kdy osoba řídící vozidlo neměla v době vzniku události předepsané řidičské oprávnění nebo jí bylo řidičské oprávnění rozhodnutím správního orgánu odňato nebo pozastaveno, </w:t>
      </w:r>
      <w:proofErr w:type="gramStart"/>
      <w:r>
        <w:rPr>
          <w:b/>
        </w:rPr>
        <w:t>a nebo</w:t>
      </w:r>
      <w:proofErr w:type="gramEnd"/>
      <w:r>
        <w:rPr>
          <w:b/>
        </w:rPr>
        <w:t xml:space="preserve"> jí bylo řízení vozidla pravomocným rozhodnutím soudu nebo správního orgánu zakázáno nebo pokud osoba, která v době vzniku události vozidlo řídila, nesplňovala jiné, právním předpisem stanovené podmínky k řízení vozidla nebo nebyla jednoznačně identifikována,</w:t>
      </w:r>
    </w:p>
    <w:p w14:paraId="68DC481B" w14:textId="77777777" w:rsidR="00255059" w:rsidRDefault="00874B43">
      <w:pPr>
        <w:numPr>
          <w:ilvl w:val="1"/>
          <w:numId w:val="23"/>
        </w:numPr>
        <w:ind w:right="0" w:hanging="340"/>
      </w:pPr>
      <w:r>
        <w:rPr>
          <w:b/>
        </w:rPr>
        <w:t>způsobené úmyslným jednáním pojistníka, pojištěného či jiného oprávněného uživatele vozidla nebo jiné osoby jednající z podnětu některé z těchto osob nebo byly-li způsobeny nesplněním povinnosti těchto osob k odvrácení škody,</w:t>
      </w:r>
    </w:p>
    <w:p w14:paraId="65C71942" w14:textId="77777777" w:rsidR="00255059" w:rsidRDefault="00874B43">
      <w:pPr>
        <w:numPr>
          <w:ilvl w:val="1"/>
          <w:numId w:val="23"/>
        </w:numPr>
        <w:ind w:right="0" w:hanging="340"/>
      </w:pPr>
      <w:r>
        <w:rPr>
          <w:b/>
        </w:rPr>
        <w:t>kdy vozidlo bylo použito v době události k trestné činnosti osob uvedených v předešlém odstavci,</w:t>
      </w:r>
    </w:p>
    <w:p w14:paraId="2220F6EF" w14:textId="77777777" w:rsidR="00255059" w:rsidRDefault="00874B43">
      <w:pPr>
        <w:numPr>
          <w:ilvl w:val="1"/>
          <w:numId w:val="23"/>
        </w:numPr>
        <w:ind w:right="0" w:hanging="340"/>
      </w:pPr>
      <w:r>
        <w:rPr>
          <w:b/>
        </w:rPr>
        <w:lastRenderedPageBreak/>
        <w:t>kdy osoba řídící vozidlo byla pod vlivem požití alkoholu nebo použití návykové látky nebo přípravku takovou látku obsahující; stejně bude posuzováno, nepodrobí-li se řidič vozidla zjištění, zda není ovlivněn alkoholem nebo použitím návykové látky nebo přípravku takovou látku obsahující, po nehodě po dobu, do kdy by to bylo na újmu zjištění, zda před jízdou nebo během jízdy požil alkoholický nápoj nebo použil návykovou látku nebo přípravek takovouto látku obsahující,</w:t>
      </w:r>
    </w:p>
    <w:p w14:paraId="65ADEF43" w14:textId="77777777" w:rsidR="00255059" w:rsidRDefault="00874B43">
      <w:pPr>
        <w:numPr>
          <w:ilvl w:val="1"/>
          <w:numId w:val="23"/>
        </w:numPr>
        <w:ind w:right="0" w:hanging="340"/>
      </w:pPr>
      <w:r>
        <w:rPr>
          <w:b/>
        </w:rPr>
        <w:t>při soukromých nebo testovacích jízdách na uzavřeném okruhu,</w:t>
      </w:r>
    </w:p>
    <w:p w14:paraId="5CC0BF45" w14:textId="77777777" w:rsidR="00255059" w:rsidRDefault="00874B43">
      <w:pPr>
        <w:numPr>
          <w:ilvl w:val="1"/>
          <w:numId w:val="23"/>
        </w:numPr>
        <w:ind w:right="0" w:hanging="340"/>
      </w:pPr>
      <w:r>
        <w:rPr>
          <w:b/>
        </w:rPr>
        <w:t>kdy pojistitel zjistí, že na pojištěném vozidle jsou pozměněné identifikátory vozidla a vozidlo tak není technicky způsobilé k provozu dle platných právních předpisů,</w:t>
      </w:r>
    </w:p>
    <w:p w14:paraId="6976A36A" w14:textId="77777777" w:rsidR="00255059" w:rsidRDefault="00874B43">
      <w:pPr>
        <w:numPr>
          <w:ilvl w:val="1"/>
          <w:numId w:val="23"/>
        </w:numPr>
        <w:ind w:right="0" w:hanging="340"/>
      </w:pPr>
      <w:r>
        <w:rPr>
          <w:b/>
        </w:rPr>
        <w:t>vzniklé v důsledku podvodu nebo zpronevěry vypůjčitele, který nevrátil vypůjčené vozidlo.</w:t>
      </w:r>
    </w:p>
    <w:p w14:paraId="07680230" w14:textId="77777777" w:rsidR="00255059" w:rsidRDefault="00874B43">
      <w:pPr>
        <w:numPr>
          <w:ilvl w:val="0"/>
          <w:numId w:val="23"/>
        </w:numPr>
        <w:ind w:right="0" w:hanging="340"/>
      </w:pPr>
      <w:r>
        <w:rPr>
          <w:b/>
        </w:rPr>
        <w:t>Ustanovení odst. 1, písm. a), c) až g) a odst. 2, písm. a) až c), e) a g) až i) tohoto článku se nevztahuje na případy, kdy došlo ke škodám na vozidle v době od odcizení vozidla do jeho vrácení, bylo-li toto odcizení kryto pojištěním a příslušnými orgány činnými v trestním řízení byl případ uzavřen.</w:t>
      </w:r>
    </w:p>
    <w:p w14:paraId="3C289566" w14:textId="77777777" w:rsidR="00255059" w:rsidRDefault="00874B43">
      <w:pPr>
        <w:numPr>
          <w:ilvl w:val="0"/>
          <w:numId w:val="23"/>
        </w:numPr>
        <w:spacing w:after="357"/>
        <w:ind w:right="0" w:hanging="340"/>
      </w:pPr>
      <w:r>
        <w:rPr>
          <w:b/>
        </w:rPr>
        <w:t>Pojištění se nevztahuje na poškození existující již v okamžiku přijetí do pojištění či před vznikem škodné události, z níž jsou uplatňovány nároky na pojistné plnění. Tímto poškozením se rozumí jak poškození mechanické povahy (např. havárie, běžné opotřebení apod.) tak chemické (např. poškození laku, hloubkové narušení karoserie korozí, prorezavění dílu vyžadující jeho výměnu, slepé paraboly světel apod.).</w:t>
      </w:r>
    </w:p>
    <w:p w14:paraId="7BF8391A" w14:textId="77777777" w:rsidR="00255059" w:rsidRDefault="00874B43">
      <w:pPr>
        <w:pStyle w:val="Nadpis1"/>
        <w:ind w:left="-5"/>
      </w:pPr>
      <w:r>
        <w:t>Článek 14</w:t>
      </w:r>
    </w:p>
    <w:p w14:paraId="7CB38C7C" w14:textId="77777777" w:rsidR="00255059" w:rsidRDefault="00874B43">
      <w:pPr>
        <w:pStyle w:val="Nadpis2"/>
        <w:ind w:left="-5"/>
      </w:pPr>
      <w:r>
        <w:t>Závěrečná ustanovení</w:t>
      </w:r>
    </w:p>
    <w:p w14:paraId="0F215C93" w14:textId="77777777" w:rsidR="00255059" w:rsidRDefault="00874B43">
      <w:pPr>
        <w:ind w:left="-15" w:right="24" w:firstLine="0"/>
      </w:pPr>
      <w:r>
        <w:t xml:space="preserve">Tyto všeobecné pojistné podmínky nabývají účinnosti </w:t>
      </w:r>
      <w:r>
        <w:rPr>
          <w:b/>
        </w:rPr>
        <w:t>1. 4. 2024</w:t>
      </w:r>
      <w:r>
        <w:t>.</w:t>
      </w:r>
    </w:p>
    <w:sectPr w:rsidR="00255059">
      <w:footerReference w:type="even" r:id="rId9"/>
      <w:footerReference w:type="default" r:id="rId10"/>
      <w:footerReference w:type="first" r:id="rId11"/>
      <w:pgSz w:w="11906" w:h="16838"/>
      <w:pgMar w:top="737" w:right="737" w:bottom="695" w:left="737" w:header="708" w:footer="3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A54DE" w14:textId="77777777" w:rsidR="00874B43" w:rsidRDefault="00874B43">
      <w:pPr>
        <w:spacing w:after="0" w:line="240" w:lineRule="auto"/>
      </w:pPr>
      <w:r>
        <w:separator/>
      </w:r>
    </w:p>
  </w:endnote>
  <w:endnote w:type="continuationSeparator" w:id="0">
    <w:p w14:paraId="13C02D09" w14:textId="77777777" w:rsidR="00874B43" w:rsidRDefault="0087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0A6B6" w14:textId="77777777" w:rsidR="00255059" w:rsidRDefault="00874B43">
    <w:pPr>
      <w:spacing w:after="0"/>
      <w:ind w:left="0" w:right="0" w:firstLine="0"/>
      <w:jc w:val="center"/>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7</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A291B" w14:textId="77777777" w:rsidR="00255059" w:rsidRDefault="00874B43">
    <w:pPr>
      <w:spacing w:after="0"/>
      <w:ind w:left="0" w:right="0" w:firstLine="0"/>
      <w:jc w:val="center"/>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7</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6C17" w14:textId="77777777" w:rsidR="00255059" w:rsidRDefault="00874B43">
    <w:pPr>
      <w:spacing w:after="0"/>
      <w:ind w:left="0" w:right="0" w:firstLine="0"/>
      <w:jc w:val="center"/>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7</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22FC6" w14:textId="77777777" w:rsidR="00874B43" w:rsidRDefault="00874B43">
      <w:pPr>
        <w:spacing w:after="0" w:line="240" w:lineRule="auto"/>
      </w:pPr>
      <w:r>
        <w:separator/>
      </w:r>
    </w:p>
  </w:footnote>
  <w:footnote w:type="continuationSeparator" w:id="0">
    <w:p w14:paraId="4FC8EA65" w14:textId="77777777" w:rsidR="00874B43" w:rsidRDefault="00874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974DF"/>
    <w:multiLevelType w:val="hybridMultilevel"/>
    <w:tmpl w:val="A87ABE8C"/>
    <w:lvl w:ilvl="0" w:tplc="A2B21424">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F20690">
      <w:start w:val="1"/>
      <w:numFmt w:val="bullet"/>
      <w:lvlText w:val="-"/>
      <w:lvlJc w:val="left"/>
      <w:pPr>
        <w:ind w:left="6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5A8CB08">
      <w:start w:val="1"/>
      <w:numFmt w:val="bullet"/>
      <w:lvlText w:val="▪"/>
      <w:lvlJc w:val="left"/>
      <w:pPr>
        <w:ind w:left="14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10899F6">
      <w:start w:val="1"/>
      <w:numFmt w:val="bullet"/>
      <w:lvlText w:val="•"/>
      <w:lvlJc w:val="left"/>
      <w:pPr>
        <w:ind w:left="21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C2C008C">
      <w:start w:val="1"/>
      <w:numFmt w:val="bullet"/>
      <w:lvlText w:val="o"/>
      <w:lvlJc w:val="left"/>
      <w:pPr>
        <w:ind w:left="28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872EAAE">
      <w:start w:val="1"/>
      <w:numFmt w:val="bullet"/>
      <w:lvlText w:val="▪"/>
      <w:lvlJc w:val="left"/>
      <w:pPr>
        <w:ind w:left="35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234B7CA">
      <w:start w:val="1"/>
      <w:numFmt w:val="bullet"/>
      <w:lvlText w:val="•"/>
      <w:lvlJc w:val="left"/>
      <w:pPr>
        <w:ind w:left="4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D368FAE">
      <w:start w:val="1"/>
      <w:numFmt w:val="bullet"/>
      <w:lvlText w:val="o"/>
      <w:lvlJc w:val="left"/>
      <w:pPr>
        <w:ind w:left="50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B68E43A">
      <w:start w:val="1"/>
      <w:numFmt w:val="bullet"/>
      <w:lvlText w:val="▪"/>
      <w:lvlJc w:val="left"/>
      <w:pPr>
        <w:ind w:left="57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C77BBF"/>
    <w:multiLevelType w:val="hybridMultilevel"/>
    <w:tmpl w:val="5A1415BC"/>
    <w:lvl w:ilvl="0" w:tplc="4FBC6AD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EEB6B8">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E4050C">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608D76">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429D00">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8622AA">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A2D9F0">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1E4F6A">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AC6F3A">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1F488F"/>
    <w:multiLevelType w:val="multilevel"/>
    <w:tmpl w:val="B9BA9B12"/>
    <w:lvl w:ilvl="0">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5F44C9"/>
    <w:multiLevelType w:val="hybridMultilevel"/>
    <w:tmpl w:val="4EEAC37A"/>
    <w:lvl w:ilvl="0" w:tplc="C1022298">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3EF6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4828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9817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020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668DB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ECEE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3A831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527F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505E2D"/>
    <w:multiLevelType w:val="hybridMultilevel"/>
    <w:tmpl w:val="4D703098"/>
    <w:lvl w:ilvl="0" w:tplc="7DE65B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FA8A86">
      <w:start w:val="1"/>
      <w:numFmt w:val="lowerLetter"/>
      <w:lvlText w:val="%2)"/>
      <w:lvlJc w:val="left"/>
      <w:pPr>
        <w:ind w:left="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1A5C9C">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028760">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A67A86">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864008">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A4AA90">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64BB82">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DAA44C">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C44D88"/>
    <w:multiLevelType w:val="hybridMultilevel"/>
    <w:tmpl w:val="43269568"/>
    <w:lvl w:ilvl="0" w:tplc="61F09AF6">
      <w:start w:val="1"/>
      <w:numFmt w:val="decimal"/>
      <w:lvlText w:val="%1."/>
      <w:lvlJc w:val="left"/>
      <w:pPr>
        <w:ind w:left="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CD27EB4">
      <w:start w:val="1"/>
      <w:numFmt w:val="lowerLetter"/>
      <w:lvlText w:val="%2)"/>
      <w:lvlJc w:val="left"/>
      <w:pPr>
        <w:ind w:left="6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8F47A20">
      <w:start w:val="1"/>
      <w:numFmt w:val="bullet"/>
      <w:lvlText w:val="–"/>
      <w:lvlJc w:val="left"/>
      <w:pPr>
        <w:ind w:left="9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0E05E68">
      <w:start w:val="1"/>
      <w:numFmt w:val="bullet"/>
      <w:lvlText w:val="•"/>
      <w:lvlJc w:val="left"/>
      <w:pPr>
        <w:ind w:left="1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D58D8FC">
      <w:start w:val="1"/>
      <w:numFmt w:val="bullet"/>
      <w:lvlText w:val="o"/>
      <w:lvlJc w:val="left"/>
      <w:pPr>
        <w:ind w:left="2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6A4F84">
      <w:start w:val="1"/>
      <w:numFmt w:val="bullet"/>
      <w:lvlText w:val="▪"/>
      <w:lvlJc w:val="left"/>
      <w:pPr>
        <w:ind w:left="3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CFC40A8">
      <w:start w:val="1"/>
      <w:numFmt w:val="bullet"/>
      <w:lvlText w:val="•"/>
      <w:lvlJc w:val="left"/>
      <w:pPr>
        <w:ind w:left="39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336E690">
      <w:start w:val="1"/>
      <w:numFmt w:val="bullet"/>
      <w:lvlText w:val="o"/>
      <w:lvlJc w:val="left"/>
      <w:pPr>
        <w:ind w:left="46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402A902">
      <w:start w:val="1"/>
      <w:numFmt w:val="bullet"/>
      <w:lvlText w:val="▪"/>
      <w:lvlJc w:val="left"/>
      <w:pPr>
        <w:ind w:left="5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0A2D1C"/>
    <w:multiLevelType w:val="hybridMultilevel"/>
    <w:tmpl w:val="B24EF41A"/>
    <w:lvl w:ilvl="0" w:tplc="09E03FC2">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C45068">
      <w:start w:val="2"/>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4C002E">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CE845A">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4A3762">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D69ABC">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A0071E">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EE6612">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D22354">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CF470E"/>
    <w:multiLevelType w:val="hybridMultilevel"/>
    <w:tmpl w:val="71EA99E2"/>
    <w:lvl w:ilvl="0" w:tplc="F4CE1C8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8FC8C">
      <w:start w:val="1"/>
      <w:numFmt w:val="lowerLetter"/>
      <w:lvlText w:val="%2"/>
      <w:lvlJc w:val="left"/>
      <w:pPr>
        <w:ind w:left="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6C668C">
      <w:start w:val="1"/>
      <w:numFmt w:val="lowerLetter"/>
      <w:lvlRestart w:val="0"/>
      <w:lvlText w:val="%3)"/>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58451A">
      <w:start w:val="1"/>
      <w:numFmt w:val="decimal"/>
      <w:lvlText w:val="%4"/>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CC8C24">
      <w:start w:val="1"/>
      <w:numFmt w:val="lowerLetter"/>
      <w:lvlText w:val="%5"/>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6C8744">
      <w:start w:val="1"/>
      <w:numFmt w:val="lowerRoman"/>
      <w:lvlText w:val="%6"/>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BC0B96">
      <w:start w:val="1"/>
      <w:numFmt w:val="decimal"/>
      <w:lvlText w:val="%7"/>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E00DB0">
      <w:start w:val="1"/>
      <w:numFmt w:val="lowerLetter"/>
      <w:lvlText w:val="%8"/>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D0CD64">
      <w:start w:val="1"/>
      <w:numFmt w:val="lowerRoman"/>
      <w:lvlText w:val="%9"/>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3716EB9"/>
    <w:multiLevelType w:val="hybridMultilevel"/>
    <w:tmpl w:val="082CC840"/>
    <w:lvl w:ilvl="0" w:tplc="B43E320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CC044">
      <w:start w:val="1"/>
      <w:numFmt w:val="lowerLetter"/>
      <w:lvlText w:val="%2"/>
      <w:lvlJc w:val="left"/>
      <w:pPr>
        <w:ind w:left="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E83094">
      <w:start w:val="1"/>
      <w:numFmt w:val="lowerRoman"/>
      <w:lvlText w:val="%3"/>
      <w:lvlJc w:val="left"/>
      <w:pPr>
        <w:ind w:left="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82AA26">
      <w:start w:val="1"/>
      <w:numFmt w:val="lowerLetter"/>
      <w:lvlRestart w:val="0"/>
      <w:lvlText w:val="%4)"/>
      <w:lvlJc w:val="left"/>
      <w:pPr>
        <w:ind w:left="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6ADA36">
      <w:start w:val="1"/>
      <w:numFmt w:val="lowerLetter"/>
      <w:lvlText w:val="%5"/>
      <w:lvlJc w:val="left"/>
      <w:pPr>
        <w:ind w:left="1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042C00">
      <w:start w:val="1"/>
      <w:numFmt w:val="lowerRoman"/>
      <w:lvlText w:val="%6"/>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2A360C">
      <w:start w:val="1"/>
      <w:numFmt w:val="decimal"/>
      <w:lvlText w:val="%7"/>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B4F262">
      <w:start w:val="1"/>
      <w:numFmt w:val="lowerLetter"/>
      <w:lvlText w:val="%8"/>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123C68">
      <w:start w:val="1"/>
      <w:numFmt w:val="lowerRoman"/>
      <w:lvlText w:val="%9"/>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3F6CBE"/>
    <w:multiLevelType w:val="hybridMultilevel"/>
    <w:tmpl w:val="08562412"/>
    <w:lvl w:ilvl="0" w:tplc="0CA0D56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DE5B9A">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D00700">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824B1C">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301A4E">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FA1190">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8E8F9A">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F69834">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B6B096">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8027A2"/>
    <w:multiLevelType w:val="hybridMultilevel"/>
    <w:tmpl w:val="6598D38A"/>
    <w:lvl w:ilvl="0" w:tplc="D97AC380">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52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A6AA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888F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6E70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1E57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4073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8EF2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2494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621C60"/>
    <w:multiLevelType w:val="hybridMultilevel"/>
    <w:tmpl w:val="A5762B28"/>
    <w:lvl w:ilvl="0" w:tplc="E2EE3E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E67A76">
      <w:start w:val="2"/>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805DA4">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6E64BA">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E6CF54">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ACE472">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EE29A0">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963432">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824AAC">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6A46DC5"/>
    <w:multiLevelType w:val="hybridMultilevel"/>
    <w:tmpl w:val="C910FDF2"/>
    <w:lvl w:ilvl="0" w:tplc="E82C6020">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7432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E8A6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EA5BB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8681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4E2D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7AE1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E0B7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5E62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BF4330"/>
    <w:multiLevelType w:val="hybridMultilevel"/>
    <w:tmpl w:val="9C169008"/>
    <w:lvl w:ilvl="0" w:tplc="08ECA14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2E687A">
      <w:start w:val="1"/>
      <w:numFmt w:val="bullet"/>
      <w:lvlText w:val="o"/>
      <w:lvlJc w:val="left"/>
      <w:pPr>
        <w:ind w:left="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6E0EA6">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56C544">
      <w:start w:val="1"/>
      <w:numFmt w:val="bullet"/>
      <w:lvlText w:val="•"/>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96DF1E">
      <w:start w:val="1"/>
      <w:numFmt w:val="bullet"/>
      <w:lvlRestart w:val="0"/>
      <w:lvlText w:val="–"/>
      <w:lvlJc w:val="left"/>
      <w:pPr>
        <w:ind w:left="1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B25158">
      <w:start w:val="1"/>
      <w:numFmt w:val="bullet"/>
      <w:lvlText w:val="▪"/>
      <w:lvlJc w:val="left"/>
      <w:pPr>
        <w:ind w:left="2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DEC6F2">
      <w:start w:val="1"/>
      <w:numFmt w:val="bullet"/>
      <w:lvlText w:val="•"/>
      <w:lvlJc w:val="left"/>
      <w:pPr>
        <w:ind w:left="2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E822D4">
      <w:start w:val="1"/>
      <w:numFmt w:val="bullet"/>
      <w:lvlText w:val="o"/>
      <w:lvlJc w:val="left"/>
      <w:pPr>
        <w:ind w:left="3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024ABA">
      <w:start w:val="1"/>
      <w:numFmt w:val="bullet"/>
      <w:lvlText w:val="▪"/>
      <w:lvlJc w:val="left"/>
      <w:pPr>
        <w:ind w:left="4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DE94F53"/>
    <w:multiLevelType w:val="hybridMultilevel"/>
    <w:tmpl w:val="BB367CDC"/>
    <w:lvl w:ilvl="0" w:tplc="7E923EE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328F7C">
      <w:start w:val="1"/>
      <w:numFmt w:val="bullet"/>
      <w:lvlText w:val="–"/>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E4F76">
      <w:start w:val="1"/>
      <w:numFmt w:val="bullet"/>
      <w:lvlText w:val="▪"/>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ACA036">
      <w:start w:val="1"/>
      <w:numFmt w:val="bullet"/>
      <w:lvlText w:val="•"/>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F65F12">
      <w:start w:val="1"/>
      <w:numFmt w:val="bullet"/>
      <w:lvlText w:val="o"/>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FE722E">
      <w:start w:val="1"/>
      <w:numFmt w:val="bullet"/>
      <w:lvlText w:val="▪"/>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2E14CA">
      <w:start w:val="1"/>
      <w:numFmt w:val="bullet"/>
      <w:lvlText w:val="•"/>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56886C">
      <w:start w:val="1"/>
      <w:numFmt w:val="bullet"/>
      <w:lvlText w:val="o"/>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EAE6FC">
      <w:start w:val="1"/>
      <w:numFmt w:val="bullet"/>
      <w:lvlText w:val="▪"/>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29A4233"/>
    <w:multiLevelType w:val="hybridMultilevel"/>
    <w:tmpl w:val="B51C768E"/>
    <w:lvl w:ilvl="0" w:tplc="8D50A1E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34772E">
      <w:start w:val="1"/>
      <w:numFmt w:val="bullet"/>
      <w:lvlText w:val="o"/>
      <w:lvlJc w:val="left"/>
      <w:pPr>
        <w:ind w:left="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5A0344">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A2272C">
      <w:start w:val="1"/>
      <w:numFmt w:val="bullet"/>
      <w:lvlText w:val="•"/>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FA89AA">
      <w:start w:val="1"/>
      <w:numFmt w:val="bullet"/>
      <w:lvlRestart w:val="0"/>
      <w:lvlText w:val="–"/>
      <w:lvlJc w:val="left"/>
      <w:pPr>
        <w:ind w:left="1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523B7A">
      <w:start w:val="1"/>
      <w:numFmt w:val="bullet"/>
      <w:lvlText w:val="▪"/>
      <w:lvlJc w:val="left"/>
      <w:pPr>
        <w:ind w:left="2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16F77C">
      <w:start w:val="1"/>
      <w:numFmt w:val="bullet"/>
      <w:lvlText w:val="•"/>
      <w:lvlJc w:val="left"/>
      <w:pPr>
        <w:ind w:left="2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C47D44">
      <w:start w:val="1"/>
      <w:numFmt w:val="bullet"/>
      <w:lvlText w:val="o"/>
      <w:lvlJc w:val="left"/>
      <w:pPr>
        <w:ind w:left="3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6882F0">
      <w:start w:val="1"/>
      <w:numFmt w:val="bullet"/>
      <w:lvlText w:val="▪"/>
      <w:lvlJc w:val="left"/>
      <w:pPr>
        <w:ind w:left="4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E1534C1"/>
    <w:multiLevelType w:val="hybridMultilevel"/>
    <w:tmpl w:val="15941834"/>
    <w:lvl w:ilvl="0" w:tplc="EA72E02E">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7A1702">
      <w:start w:val="1"/>
      <w:numFmt w:val="lowerLetter"/>
      <w:lvlText w:val="%2)"/>
      <w:lvlJc w:val="left"/>
      <w:pPr>
        <w:ind w:left="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C6A62E">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0492CC">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C45AB4">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0419D4">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605936">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E8844C">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1CE8A2">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3292053"/>
    <w:multiLevelType w:val="hybridMultilevel"/>
    <w:tmpl w:val="A4DE57D4"/>
    <w:lvl w:ilvl="0" w:tplc="C9BCD9D0">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5EAC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A01B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66AA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720C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AEE4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90BC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7E05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D67A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6652280"/>
    <w:multiLevelType w:val="hybridMultilevel"/>
    <w:tmpl w:val="9738D42E"/>
    <w:lvl w:ilvl="0" w:tplc="A6F491DE">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A6EB0E">
      <w:start w:val="1"/>
      <w:numFmt w:val="bullet"/>
      <w:lvlText w:val="–"/>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C4D5F4">
      <w:start w:val="1"/>
      <w:numFmt w:val="bullet"/>
      <w:lvlText w:val="▪"/>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9673B4">
      <w:start w:val="1"/>
      <w:numFmt w:val="bullet"/>
      <w:lvlText w:val="•"/>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A689C2">
      <w:start w:val="1"/>
      <w:numFmt w:val="bullet"/>
      <w:lvlText w:val="o"/>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7275DC">
      <w:start w:val="1"/>
      <w:numFmt w:val="bullet"/>
      <w:lvlText w:val="▪"/>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267F14">
      <w:start w:val="1"/>
      <w:numFmt w:val="bullet"/>
      <w:lvlText w:val="•"/>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4A49DA">
      <w:start w:val="1"/>
      <w:numFmt w:val="bullet"/>
      <w:lvlText w:val="o"/>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941940">
      <w:start w:val="1"/>
      <w:numFmt w:val="bullet"/>
      <w:lvlText w:val="▪"/>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B602BF5"/>
    <w:multiLevelType w:val="hybridMultilevel"/>
    <w:tmpl w:val="2E280EB6"/>
    <w:lvl w:ilvl="0" w:tplc="DC1468B4">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6CCE0C">
      <w:start w:val="2"/>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7E7416">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A0A30C">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14B638">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8C460C">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6A5A9C">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3CCA42">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E27D12">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C574B5E"/>
    <w:multiLevelType w:val="hybridMultilevel"/>
    <w:tmpl w:val="3A1251CA"/>
    <w:lvl w:ilvl="0" w:tplc="12EC2BAE">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DAFBEC">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7092C4">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1C1308">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90A1F4">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4283DE">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FA2FDC">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72E45A">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16DB92">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64D447A"/>
    <w:multiLevelType w:val="hybridMultilevel"/>
    <w:tmpl w:val="765048D4"/>
    <w:lvl w:ilvl="0" w:tplc="4AD2C09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465FA0">
      <w:start w:val="1"/>
      <w:numFmt w:val="lowerLetter"/>
      <w:lvlText w:val="%2"/>
      <w:lvlJc w:val="left"/>
      <w:pPr>
        <w:ind w:left="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FCAF90">
      <w:start w:val="1"/>
      <w:numFmt w:val="lowerRoman"/>
      <w:lvlText w:val="%3"/>
      <w:lvlJc w:val="left"/>
      <w:pPr>
        <w:ind w:left="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B0DC58">
      <w:start w:val="10"/>
      <w:numFmt w:val="lowerLetter"/>
      <w:lvlRestart w:val="0"/>
      <w:lvlText w:val="%4)"/>
      <w:lvlJc w:val="left"/>
      <w:pPr>
        <w:ind w:left="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D25AF8">
      <w:start w:val="1"/>
      <w:numFmt w:val="lowerLetter"/>
      <w:lvlText w:val="%5"/>
      <w:lvlJc w:val="left"/>
      <w:pPr>
        <w:ind w:left="1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62D1C2">
      <w:start w:val="1"/>
      <w:numFmt w:val="lowerRoman"/>
      <w:lvlText w:val="%6"/>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6CDA9A">
      <w:start w:val="1"/>
      <w:numFmt w:val="decimal"/>
      <w:lvlText w:val="%7"/>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562A6C">
      <w:start w:val="1"/>
      <w:numFmt w:val="lowerLetter"/>
      <w:lvlText w:val="%8"/>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D82932">
      <w:start w:val="1"/>
      <w:numFmt w:val="lowerRoman"/>
      <w:lvlText w:val="%9"/>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032774"/>
    <w:multiLevelType w:val="hybridMultilevel"/>
    <w:tmpl w:val="B2CCDF40"/>
    <w:lvl w:ilvl="0" w:tplc="5A34D338">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BCCF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64712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BE4EF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C04F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128D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46D6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66D4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D820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7043802">
    <w:abstractNumId w:val="19"/>
  </w:num>
  <w:num w:numId="2" w16cid:durableId="1704987311">
    <w:abstractNumId w:val="1"/>
  </w:num>
  <w:num w:numId="3" w16cid:durableId="80296308">
    <w:abstractNumId w:val="3"/>
  </w:num>
  <w:num w:numId="4" w16cid:durableId="45422737">
    <w:abstractNumId w:val="16"/>
  </w:num>
  <w:num w:numId="5" w16cid:durableId="1125662953">
    <w:abstractNumId w:val="10"/>
  </w:num>
  <w:num w:numId="6" w16cid:durableId="667832628">
    <w:abstractNumId w:val="0"/>
  </w:num>
  <w:num w:numId="7" w16cid:durableId="1723405669">
    <w:abstractNumId w:val="14"/>
  </w:num>
  <w:num w:numId="8" w16cid:durableId="1099833811">
    <w:abstractNumId w:val="9"/>
  </w:num>
  <w:num w:numId="9" w16cid:durableId="1216939505">
    <w:abstractNumId w:val="20"/>
  </w:num>
  <w:num w:numId="10" w16cid:durableId="260647914">
    <w:abstractNumId w:val="11"/>
  </w:num>
  <w:num w:numId="11" w16cid:durableId="712585410">
    <w:abstractNumId w:val="18"/>
  </w:num>
  <w:num w:numId="12" w16cid:durableId="230625137">
    <w:abstractNumId w:val="4"/>
  </w:num>
  <w:num w:numId="13" w16cid:durableId="1762408505">
    <w:abstractNumId w:val="22"/>
  </w:num>
  <w:num w:numId="14" w16cid:durableId="101075261">
    <w:abstractNumId w:val="6"/>
  </w:num>
  <w:num w:numId="15" w16cid:durableId="234098106">
    <w:abstractNumId w:val="12"/>
  </w:num>
  <w:num w:numId="16" w16cid:durableId="340280321">
    <w:abstractNumId w:val="2"/>
  </w:num>
  <w:num w:numId="17" w16cid:durableId="1647854729">
    <w:abstractNumId w:val="7"/>
  </w:num>
  <w:num w:numId="18" w16cid:durableId="704602304">
    <w:abstractNumId w:val="15"/>
  </w:num>
  <w:num w:numId="19" w16cid:durableId="1359697421">
    <w:abstractNumId w:val="21"/>
  </w:num>
  <w:num w:numId="20" w16cid:durableId="1350570664">
    <w:abstractNumId w:val="8"/>
  </w:num>
  <w:num w:numId="21" w16cid:durableId="1595898554">
    <w:abstractNumId w:val="13"/>
  </w:num>
  <w:num w:numId="22" w16cid:durableId="1953050576">
    <w:abstractNumId w:val="17"/>
  </w:num>
  <w:num w:numId="23" w16cid:durableId="2046296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59"/>
    <w:rsid w:val="000A2457"/>
    <w:rsid w:val="00255059"/>
    <w:rsid w:val="00874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087D"/>
  <w15:docId w15:val="{27C349AC-3506-4D10-8CAA-01C54E5A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9" w:lineRule="auto"/>
      <w:ind w:left="350" w:right="6095" w:hanging="350"/>
    </w:pPr>
    <w:rPr>
      <w:rFonts w:ascii="Arial" w:eastAsia="Arial" w:hAnsi="Arial" w:cs="Arial"/>
      <w:color w:val="000000"/>
      <w:sz w:val="20"/>
    </w:rPr>
  </w:style>
  <w:style w:type="paragraph" w:styleId="Nadpis1">
    <w:name w:val="heading 1"/>
    <w:next w:val="Normln"/>
    <w:link w:val="Nadpis1Char"/>
    <w:uiPriority w:val="9"/>
    <w:qFormat/>
    <w:pPr>
      <w:keepNext/>
      <w:keepLines/>
      <w:spacing w:after="0" w:line="259" w:lineRule="auto"/>
      <w:ind w:left="10" w:hanging="10"/>
      <w:outlineLvl w:val="0"/>
    </w:pPr>
    <w:rPr>
      <w:rFonts w:ascii="Arial" w:eastAsia="Arial" w:hAnsi="Arial" w:cs="Arial"/>
      <w:b/>
      <w:color w:val="005CA9"/>
      <w:sz w:val="28"/>
    </w:rPr>
  </w:style>
  <w:style w:type="paragraph" w:styleId="Nadpis2">
    <w:name w:val="heading 2"/>
    <w:next w:val="Normln"/>
    <w:link w:val="Nadpis2Char"/>
    <w:uiPriority w:val="9"/>
    <w:unhideWhenUsed/>
    <w:qFormat/>
    <w:pPr>
      <w:keepNext/>
      <w:keepLines/>
      <w:spacing w:after="23" w:line="259" w:lineRule="auto"/>
      <w:ind w:left="10" w:hanging="10"/>
      <w:outlineLvl w:val="1"/>
    </w:pPr>
    <w:rPr>
      <w:rFonts w:ascii="Arial" w:eastAsia="Arial" w:hAnsi="Arial" w:cs="Arial"/>
      <w:b/>
      <w:color w:val="005CA9"/>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5CA9"/>
      <w:sz w:val="22"/>
    </w:rPr>
  </w:style>
  <w:style w:type="character" w:customStyle="1" w:styleId="Nadpis1Char">
    <w:name w:val="Nadpis 1 Char"/>
    <w:link w:val="Nadpis1"/>
    <w:rPr>
      <w:rFonts w:ascii="Arial" w:eastAsia="Arial" w:hAnsi="Arial" w:cs="Arial"/>
      <w:b/>
      <w:color w:val="005CA9"/>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uniq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744F2-6E20-45C2-8D8C-8D82DCB7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4287</Words>
  <Characters>25296</Characters>
  <Application>Microsoft Office Word</Application>
  <DocSecurity>0</DocSecurity>
  <Lines>210</Lines>
  <Paragraphs>59</Paragraphs>
  <ScaleCrop>false</ScaleCrop>
  <Company>Národní muzeum</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Lubovská Markéta</dc:creator>
  <cp:keywords/>
  <cp:lastModifiedBy>Lubovská Markéta</cp:lastModifiedBy>
  <cp:revision>2</cp:revision>
  <dcterms:created xsi:type="dcterms:W3CDTF">2024-07-11T14:25:00Z</dcterms:created>
  <dcterms:modified xsi:type="dcterms:W3CDTF">2024-07-11T14:25:00Z</dcterms:modified>
</cp:coreProperties>
</file>