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7EB51" w14:textId="77777777" w:rsidR="00D84C8E" w:rsidRDefault="00652612">
      <w:pPr>
        <w:spacing w:after="0" w:line="265" w:lineRule="auto"/>
        <w:ind w:left="10" w:right="-15" w:hanging="1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EAC4AD" wp14:editId="56881F07">
                <wp:simplePos x="0" y="0"/>
                <wp:positionH relativeFrom="column">
                  <wp:posOffset>3</wp:posOffset>
                </wp:positionH>
                <wp:positionV relativeFrom="paragraph">
                  <wp:posOffset>-37645</wp:posOffset>
                </wp:positionV>
                <wp:extent cx="1889994" cy="341903"/>
                <wp:effectExtent l="0" t="0" r="0" b="0"/>
                <wp:wrapSquare wrapText="bothSides"/>
                <wp:docPr id="6393" name="Group 6393"/>
                <wp:cNvGraphicFramePr/>
                <a:graphic xmlns:a="http://schemas.openxmlformats.org/drawingml/2006/main">
                  <a:graphicData uri="http://schemas.microsoft.com/office/word/2010/wordprocessingGroup">
                    <wpg:wgp>
                      <wpg:cNvGrpSpPr/>
                      <wpg:grpSpPr>
                        <a:xfrm>
                          <a:off x="0" y="0"/>
                          <a:ext cx="1889994" cy="341903"/>
                          <a:chOff x="0" y="0"/>
                          <a:chExt cx="1889994" cy="341903"/>
                        </a:xfrm>
                      </wpg:grpSpPr>
                      <wps:wsp>
                        <wps:cNvPr id="79" name="Shape 79"/>
                        <wps:cNvSpPr/>
                        <wps:spPr>
                          <a:xfrm>
                            <a:off x="657520" y="64363"/>
                            <a:ext cx="237477" cy="275120"/>
                          </a:xfrm>
                          <a:custGeom>
                            <a:avLst/>
                            <a:gdLst/>
                            <a:ahLst/>
                            <a:cxnLst/>
                            <a:rect l="0" t="0" r="0" b="0"/>
                            <a:pathLst>
                              <a:path w="237477" h="275120">
                                <a:moveTo>
                                  <a:pt x="0" y="0"/>
                                </a:moveTo>
                                <a:lnTo>
                                  <a:pt x="50622" y="0"/>
                                </a:lnTo>
                                <a:lnTo>
                                  <a:pt x="50622" y="149225"/>
                                </a:lnTo>
                                <a:cubicBezTo>
                                  <a:pt x="50622" y="198501"/>
                                  <a:pt x="80086" y="228041"/>
                                  <a:pt x="118745" y="228041"/>
                                </a:cubicBezTo>
                                <a:cubicBezTo>
                                  <a:pt x="157836" y="228041"/>
                                  <a:pt x="186855" y="198501"/>
                                  <a:pt x="186855" y="149225"/>
                                </a:cubicBezTo>
                                <a:lnTo>
                                  <a:pt x="186855" y="0"/>
                                </a:lnTo>
                                <a:lnTo>
                                  <a:pt x="237477" y="0"/>
                                </a:lnTo>
                                <a:lnTo>
                                  <a:pt x="237477" y="159944"/>
                                </a:lnTo>
                                <a:cubicBezTo>
                                  <a:pt x="237477" y="222047"/>
                                  <a:pt x="190906" y="275120"/>
                                  <a:pt x="118745" y="275120"/>
                                </a:cubicBezTo>
                                <a:cubicBezTo>
                                  <a:pt x="46571" y="275120"/>
                                  <a:pt x="0" y="222047"/>
                                  <a:pt x="0" y="159944"/>
                                </a:cubicBez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0" name="Shape 80"/>
                        <wps:cNvSpPr/>
                        <wps:spPr>
                          <a:xfrm>
                            <a:off x="951641" y="64372"/>
                            <a:ext cx="224396" cy="269329"/>
                          </a:xfrm>
                          <a:custGeom>
                            <a:avLst/>
                            <a:gdLst/>
                            <a:ahLst/>
                            <a:cxnLst/>
                            <a:rect l="0" t="0" r="0" b="0"/>
                            <a:pathLst>
                              <a:path w="224396" h="269329">
                                <a:moveTo>
                                  <a:pt x="0" y="0"/>
                                </a:moveTo>
                                <a:lnTo>
                                  <a:pt x="27356" y="0"/>
                                </a:lnTo>
                                <a:lnTo>
                                  <a:pt x="174307" y="168046"/>
                                </a:lnTo>
                                <a:lnTo>
                                  <a:pt x="174307" y="0"/>
                                </a:lnTo>
                                <a:lnTo>
                                  <a:pt x="224396" y="0"/>
                                </a:lnTo>
                                <a:lnTo>
                                  <a:pt x="224396" y="269329"/>
                                </a:lnTo>
                                <a:lnTo>
                                  <a:pt x="196736" y="269329"/>
                                </a:lnTo>
                                <a:lnTo>
                                  <a:pt x="50076" y="101524"/>
                                </a:lnTo>
                                <a:lnTo>
                                  <a:pt x="50076" y="268872"/>
                                </a:lnTo>
                                <a:lnTo>
                                  <a:pt x="0" y="268872"/>
                                </a:ln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761" name="Shape 8761"/>
                        <wps:cNvSpPr/>
                        <wps:spPr>
                          <a:xfrm>
                            <a:off x="1235956" y="64363"/>
                            <a:ext cx="51968" cy="268872"/>
                          </a:xfrm>
                          <a:custGeom>
                            <a:avLst/>
                            <a:gdLst/>
                            <a:ahLst/>
                            <a:cxnLst/>
                            <a:rect l="0" t="0" r="0" b="0"/>
                            <a:pathLst>
                              <a:path w="51968" h="268872">
                                <a:moveTo>
                                  <a:pt x="0" y="0"/>
                                </a:moveTo>
                                <a:lnTo>
                                  <a:pt x="51968" y="0"/>
                                </a:lnTo>
                                <a:lnTo>
                                  <a:pt x="51968" y="268872"/>
                                </a:lnTo>
                                <a:lnTo>
                                  <a:pt x="0" y="268872"/>
                                </a:lnTo>
                                <a:lnTo>
                                  <a:pt x="0" y="0"/>
                                </a:lnTo>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2" name="Shape 82"/>
                        <wps:cNvSpPr/>
                        <wps:spPr>
                          <a:xfrm>
                            <a:off x="1332361" y="55735"/>
                            <a:ext cx="144475" cy="286167"/>
                          </a:xfrm>
                          <a:custGeom>
                            <a:avLst/>
                            <a:gdLst/>
                            <a:ahLst/>
                            <a:cxnLst/>
                            <a:rect l="0" t="0" r="0" b="0"/>
                            <a:pathLst>
                              <a:path w="144475" h="286167">
                                <a:moveTo>
                                  <a:pt x="144475" y="0"/>
                                </a:moveTo>
                                <a:lnTo>
                                  <a:pt x="144475" y="44909"/>
                                </a:lnTo>
                                <a:lnTo>
                                  <a:pt x="107956" y="52619"/>
                                </a:lnTo>
                                <a:cubicBezTo>
                                  <a:pt x="74268" y="67520"/>
                                  <a:pt x="50622" y="102405"/>
                                  <a:pt x="50622" y="143077"/>
                                </a:cubicBezTo>
                                <a:cubicBezTo>
                                  <a:pt x="50622" y="183730"/>
                                  <a:pt x="74268" y="218617"/>
                                  <a:pt x="107956" y="233520"/>
                                </a:cubicBezTo>
                                <a:lnTo>
                                  <a:pt x="144475" y="241233"/>
                                </a:lnTo>
                                <a:lnTo>
                                  <a:pt x="144475" y="286167"/>
                                </a:lnTo>
                                <a:lnTo>
                                  <a:pt x="115366" y="283260"/>
                                </a:lnTo>
                                <a:cubicBezTo>
                                  <a:pt x="49521" y="269916"/>
                                  <a:pt x="0" y="212219"/>
                                  <a:pt x="0" y="143077"/>
                                </a:cubicBezTo>
                                <a:cubicBezTo>
                                  <a:pt x="0" y="73924"/>
                                  <a:pt x="49521" y="16244"/>
                                  <a:pt x="115366" y="2905"/>
                                </a:cubicBezTo>
                                <a:lnTo>
                                  <a:pt x="144475"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3" name="Shape 83"/>
                        <wps:cNvSpPr/>
                        <wps:spPr>
                          <a:xfrm>
                            <a:off x="1476836" y="55734"/>
                            <a:ext cx="144501" cy="286169"/>
                          </a:xfrm>
                          <a:custGeom>
                            <a:avLst/>
                            <a:gdLst/>
                            <a:ahLst/>
                            <a:cxnLst/>
                            <a:rect l="0" t="0" r="0" b="0"/>
                            <a:pathLst>
                              <a:path w="144501" h="286169">
                                <a:moveTo>
                                  <a:pt x="13" y="0"/>
                                </a:moveTo>
                                <a:cubicBezTo>
                                  <a:pt x="79832" y="0"/>
                                  <a:pt x="144501" y="64046"/>
                                  <a:pt x="144501" y="143078"/>
                                </a:cubicBezTo>
                                <a:cubicBezTo>
                                  <a:pt x="144501" y="175298"/>
                                  <a:pt x="133744" y="205003"/>
                                  <a:pt x="115621" y="228917"/>
                                </a:cubicBezTo>
                                <a:lnTo>
                                  <a:pt x="138303" y="251638"/>
                                </a:lnTo>
                                <a:lnTo>
                                  <a:pt x="105359" y="284582"/>
                                </a:lnTo>
                                <a:lnTo>
                                  <a:pt x="81788" y="261023"/>
                                </a:lnTo>
                                <a:cubicBezTo>
                                  <a:pt x="58509" y="276847"/>
                                  <a:pt x="30366" y="286169"/>
                                  <a:pt x="13" y="286169"/>
                                </a:cubicBezTo>
                                <a:lnTo>
                                  <a:pt x="0" y="286168"/>
                                </a:lnTo>
                                <a:lnTo>
                                  <a:pt x="0" y="241234"/>
                                </a:lnTo>
                                <a:lnTo>
                                  <a:pt x="13" y="241236"/>
                                </a:lnTo>
                                <a:cubicBezTo>
                                  <a:pt x="17602" y="241236"/>
                                  <a:pt x="34061" y="236156"/>
                                  <a:pt x="48146" y="227355"/>
                                </a:cubicBezTo>
                                <a:lnTo>
                                  <a:pt x="16358" y="195593"/>
                                </a:lnTo>
                                <a:lnTo>
                                  <a:pt x="49340" y="162649"/>
                                </a:lnTo>
                                <a:lnTo>
                                  <a:pt x="80404" y="193700"/>
                                </a:lnTo>
                                <a:cubicBezTo>
                                  <a:pt x="88925" y="178918"/>
                                  <a:pt x="93853" y="161595"/>
                                  <a:pt x="93853" y="143078"/>
                                </a:cubicBezTo>
                                <a:cubicBezTo>
                                  <a:pt x="93853" y="88849"/>
                                  <a:pt x="51829" y="44907"/>
                                  <a:pt x="13" y="44907"/>
                                </a:cubicBezTo>
                                <a:lnTo>
                                  <a:pt x="0" y="44910"/>
                                </a:lnTo>
                                <a:lnTo>
                                  <a:pt x="0" y="1"/>
                                </a:lnTo>
                                <a:lnTo>
                                  <a:pt x="13"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4" name="Shape 84"/>
                        <wps:cNvSpPr/>
                        <wps:spPr>
                          <a:xfrm>
                            <a:off x="1623040" y="64371"/>
                            <a:ext cx="133318" cy="268872"/>
                          </a:xfrm>
                          <a:custGeom>
                            <a:avLst/>
                            <a:gdLst/>
                            <a:ahLst/>
                            <a:cxnLst/>
                            <a:rect l="0" t="0" r="0" b="0"/>
                            <a:pathLst>
                              <a:path w="133318" h="268872">
                                <a:moveTo>
                                  <a:pt x="117539" y="0"/>
                                </a:moveTo>
                                <a:lnTo>
                                  <a:pt x="133318" y="0"/>
                                </a:lnTo>
                                <a:lnTo>
                                  <a:pt x="133318" y="78841"/>
                                </a:lnTo>
                                <a:lnTo>
                                  <a:pt x="93561" y="174028"/>
                                </a:lnTo>
                                <a:lnTo>
                                  <a:pt x="133318" y="174028"/>
                                </a:lnTo>
                                <a:lnTo>
                                  <a:pt x="133318" y="218237"/>
                                </a:lnTo>
                                <a:lnTo>
                                  <a:pt x="75095" y="218237"/>
                                </a:lnTo>
                                <a:lnTo>
                                  <a:pt x="53937" y="268872"/>
                                </a:lnTo>
                                <a:lnTo>
                                  <a:pt x="0" y="268872"/>
                                </a:lnTo>
                                <a:lnTo>
                                  <a:pt x="117539"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5" name="Shape 85"/>
                        <wps:cNvSpPr/>
                        <wps:spPr>
                          <a:xfrm>
                            <a:off x="1756358" y="64371"/>
                            <a:ext cx="133636" cy="268872"/>
                          </a:xfrm>
                          <a:custGeom>
                            <a:avLst/>
                            <a:gdLst/>
                            <a:ahLst/>
                            <a:cxnLst/>
                            <a:rect l="0" t="0" r="0" b="0"/>
                            <a:pathLst>
                              <a:path w="133636" h="268872">
                                <a:moveTo>
                                  <a:pt x="0" y="0"/>
                                </a:moveTo>
                                <a:lnTo>
                                  <a:pt x="19082" y="0"/>
                                </a:lnTo>
                                <a:lnTo>
                                  <a:pt x="133636" y="268872"/>
                                </a:lnTo>
                                <a:lnTo>
                                  <a:pt x="78162" y="268872"/>
                                </a:lnTo>
                                <a:lnTo>
                                  <a:pt x="57677" y="218237"/>
                                </a:lnTo>
                                <a:lnTo>
                                  <a:pt x="0" y="218237"/>
                                </a:lnTo>
                                <a:lnTo>
                                  <a:pt x="0" y="174028"/>
                                </a:lnTo>
                                <a:lnTo>
                                  <a:pt x="39757" y="174028"/>
                                </a:lnTo>
                                <a:lnTo>
                                  <a:pt x="641" y="77305"/>
                                </a:lnTo>
                                <a:lnTo>
                                  <a:pt x="0" y="78841"/>
                                </a:lnTo>
                                <a:lnTo>
                                  <a:pt x="0"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6" name="Shape 86"/>
                        <wps:cNvSpPr/>
                        <wps:spPr>
                          <a:xfrm>
                            <a:off x="0" y="291946"/>
                            <a:ext cx="184582" cy="37681"/>
                          </a:xfrm>
                          <a:custGeom>
                            <a:avLst/>
                            <a:gdLst/>
                            <a:ahLst/>
                            <a:cxnLst/>
                            <a:rect l="0" t="0" r="0" b="0"/>
                            <a:pathLst>
                              <a:path w="184582" h="37681">
                                <a:moveTo>
                                  <a:pt x="21082" y="0"/>
                                </a:moveTo>
                                <a:lnTo>
                                  <a:pt x="129667" y="0"/>
                                </a:lnTo>
                                <a:cubicBezTo>
                                  <a:pt x="134125" y="3823"/>
                                  <a:pt x="139243" y="8293"/>
                                  <a:pt x="144348" y="12128"/>
                                </a:cubicBezTo>
                                <a:cubicBezTo>
                                  <a:pt x="156489" y="21704"/>
                                  <a:pt x="169901" y="30645"/>
                                  <a:pt x="184582" y="37681"/>
                                </a:cubicBezTo>
                                <a:lnTo>
                                  <a:pt x="0" y="37681"/>
                                </a:lnTo>
                                <a:lnTo>
                                  <a:pt x="21082" y="0"/>
                                </a:ln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7" name="Shape 87"/>
                        <wps:cNvSpPr/>
                        <wps:spPr>
                          <a:xfrm>
                            <a:off x="148826" y="55608"/>
                            <a:ext cx="399199" cy="277216"/>
                          </a:xfrm>
                          <a:custGeom>
                            <a:avLst/>
                            <a:gdLst/>
                            <a:ahLst/>
                            <a:cxnLst/>
                            <a:rect l="0" t="0" r="0" b="0"/>
                            <a:pathLst>
                              <a:path w="399199" h="277216">
                                <a:moveTo>
                                  <a:pt x="76645" y="0"/>
                                </a:moveTo>
                                <a:cubicBezTo>
                                  <a:pt x="70256" y="5118"/>
                                  <a:pt x="32575" y="79197"/>
                                  <a:pt x="79197" y="144348"/>
                                </a:cubicBezTo>
                                <a:cubicBezTo>
                                  <a:pt x="92608" y="162865"/>
                                  <a:pt x="111773" y="185229"/>
                                  <a:pt x="134760" y="198653"/>
                                </a:cubicBezTo>
                                <a:cubicBezTo>
                                  <a:pt x="158394" y="212065"/>
                                  <a:pt x="173736" y="215252"/>
                                  <a:pt x="183947" y="218440"/>
                                </a:cubicBezTo>
                                <a:cubicBezTo>
                                  <a:pt x="201828" y="222910"/>
                                  <a:pt x="229299" y="224828"/>
                                  <a:pt x="265062" y="226759"/>
                                </a:cubicBezTo>
                                <a:cubicBezTo>
                                  <a:pt x="293815" y="228663"/>
                                  <a:pt x="352577" y="228663"/>
                                  <a:pt x="362788" y="228663"/>
                                </a:cubicBezTo>
                                <a:lnTo>
                                  <a:pt x="373659" y="228663"/>
                                </a:lnTo>
                                <a:lnTo>
                                  <a:pt x="399199" y="277216"/>
                                </a:lnTo>
                                <a:cubicBezTo>
                                  <a:pt x="399199" y="277216"/>
                                  <a:pt x="313614" y="277216"/>
                                  <a:pt x="274015" y="275285"/>
                                </a:cubicBezTo>
                                <a:cubicBezTo>
                                  <a:pt x="228663" y="272745"/>
                                  <a:pt x="194170" y="270180"/>
                                  <a:pt x="171818" y="264439"/>
                                </a:cubicBezTo>
                                <a:cubicBezTo>
                                  <a:pt x="159042" y="260604"/>
                                  <a:pt x="139243" y="256121"/>
                                  <a:pt x="109220" y="238874"/>
                                </a:cubicBezTo>
                                <a:cubicBezTo>
                                  <a:pt x="81115" y="222288"/>
                                  <a:pt x="51740" y="193535"/>
                                  <a:pt x="36398" y="169266"/>
                                </a:cubicBezTo>
                                <a:cubicBezTo>
                                  <a:pt x="0" y="111125"/>
                                  <a:pt x="8941" y="71539"/>
                                  <a:pt x="14046" y="52375"/>
                                </a:cubicBezTo>
                                <a:cubicBezTo>
                                  <a:pt x="24270" y="38329"/>
                                  <a:pt x="37681" y="24270"/>
                                  <a:pt x="52362" y="14059"/>
                                </a:cubicBezTo>
                                <a:cubicBezTo>
                                  <a:pt x="62586" y="6388"/>
                                  <a:pt x="69609" y="3188"/>
                                  <a:pt x="76645" y="0"/>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8" name="Shape 88"/>
                        <wps:cNvSpPr/>
                        <wps:spPr>
                          <a:xfrm>
                            <a:off x="85583" y="0"/>
                            <a:ext cx="304673" cy="329624"/>
                          </a:xfrm>
                          <a:custGeom>
                            <a:avLst/>
                            <a:gdLst/>
                            <a:ahLst/>
                            <a:cxnLst/>
                            <a:rect l="0" t="0" r="0" b="0"/>
                            <a:pathLst>
                              <a:path w="304673" h="329624">
                                <a:moveTo>
                                  <a:pt x="168146" y="2098"/>
                                </a:moveTo>
                                <a:cubicBezTo>
                                  <a:pt x="177607" y="2797"/>
                                  <a:pt x="187627" y="4355"/>
                                  <a:pt x="198006" y="7069"/>
                                </a:cubicBezTo>
                                <a:cubicBezTo>
                                  <a:pt x="242087" y="19198"/>
                                  <a:pt x="279781" y="46668"/>
                                  <a:pt x="304673" y="82431"/>
                                </a:cubicBezTo>
                                <a:cubicBezTo>
                                  <a:pt x="304673" y="82431"/>
                                  <a:pt x="266992" y="33257"/>
                                  <a:pt x="202476" y="27503"/>
                                </a:cubicBezTo>
                                <a:cubicBezTo>
                                  <a:pt x="199288" y="27503"/>
                                  <a:pt x="196736" y="26868"/>
                                  <a:pt x="193535" y="26868"/>
                                </a:cubicBezTo>
                                <a:cubicBezTo>
                                  <a:pt x="161608" y="26233"/>
                                  <a:pt x="130950" y="37092"/>
                                  <a:pt x="106032" y="55609"/>
                                </a:cubicBezTo>
                                <a:cubicBezTo>
                                  <a:pt x="89421" y="67102"/>
                                  <a:pt x="75375" y="81796"/>
                                  <a:pt x="63881" y="98408"/>
                                </a:cubicBezTo>
                                <a:cubicBezTo>
                                  <a:pt x="63881" y="99690"/>
                                  <a:pt x="61316" y="102243"/>
                                  <a:pt x="58763" y="106713"/>
                                </a:cubicBezTo>
                                <a:lnTo>
                                  <a:pt x="58128" y="107983"/>
                                </a:lnTo>
                                <a:cubicBezTo>
                                  <a:pt x="57493" y="109253"/>
                                  <a:pt x="56845" y="109901"/>
                                  <a:pt x="56845" y="111184"/>
                                </a:cubicBezTo>
                                <a:cubicBezTo>
                                  <a:pt x="48552" y="126500"/>
                                  <a:pt x="37681" y="153335"/>
                                  <a:pt x="37681" y="187193"/>
                                </a:cubicBezTo>
                                <a:cubicBezTo>
                                  <a:pt x="37046" y="230627"/>
                                  <a:pt x="56223" y="261920"/>
                                  <a:pt x="63881" y="272779"/>
                                </a:cubicBezTo>
                                <a:cubicBezTo>
                                  <a:pt x="63881" y="273414"/>
                                  <a:pt x="82398" y="285555"/>
                                  <a:pt x="109868" y="290660"/>
                                </a:cubicBezTo>
                                <a:cubicBezTo>
                                  <a:pt x="120726" y="292578"/>
                                  <a:pt x="131585" y="293213"/>
                                  <a:pt x="140526" y="293213"/>
                                </a:cubicBezTo>
                                <a:cubicBezTo>
                                  <a:pt x="148184" y="298953"/>
                                  <a:pt x="155854" y="304719"/>
                                  <a:pt x="164160" y="309177"/>
                                </a:cubicBezTo>
                                <a:cubicBezTo>
                                  <a:pt x="177571" y="317483"/>
                                  <a:pt x="189065" y="322588"/>
                                  <a:pt x="199288" y="326423"/>
                                </a:cubicBezTo>
                                <a:cubicBezTo>
                                  <a:pt x="188430" y="328341"/>
                                  <a:pt x="177571" y="329624"/>
                                  <a:pt x="167348" y="329624"/>
                                </a:cubicBezTo>
                                <a:cubicBezTo>
                                  <a:pt x="131585" y="329624"/>
                                  <a:pt x="97092" y="312364"/>
                                  <a:pt x="68986" y="290660"/>
                                </a:cubicBezTo>
                                <a:cubicBezTo>
                                  <a:pt x="35141" y="264473"/>
                                  <a:pt x="10871" y="228697"/>
                                  <a:pt x="4483" y="189098"/>
                                </a:cubicBezTo>
                                <a:cubicBezTo>
                                  <a:pt x="3835" y="184628"/>
                                  <a:pt x="3200" y="180157"/>
                                  <a:pt x="2553" y="173769"/>
                                </a:cubicBezTo>
                                <a:cubicBezTo>
                                  <a:pt x="0" y="146312"/>
                                  <a:pt x="3835" y="112454"/>
                                  <a:pt x="23000" y="80526"/>
                                </a:cubicBezTo>
                                <a:cubicBezTo>
                                  <a:pt x="38964" y="52421"/>
                                  <a:pt x="63246" y="28138"/>
                                  <a:pt x="103467" y="10892"/>
                                </a:cubicBezTo>
                                <a:cubicBezTo>
                                  <a:pt x="116411" y="5625"/>
                                  <a:pt x="139764" y="0"/>
                                  <a:pt x="168146" y="2098"/>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s:wsp>
                        <wps:cNvPr id="89" name="Shape 89"/>
                        <wps:cNvSpPr/>
                        <wps:spPr>
                          <a:xfrm>
                            <a:off x="325117" y="70303"/>
                            <a:ext cx="91973" cy="193535"/>
                          </a:xfrm>
                          <a:custGeom>
                            <a:avLst/>
                            <a:gdLst/>
                            <a:ahLst/>
                            <a:cxnLst/>
                            <a:rect l="0" t="0" r="0" b="0"/>
                            <a:pathLst>
                              <a:path w="91973" h="193535">
                                <a:moveTo>
                                  <a:pt x="30010" y="0"/>
                                </a:moveTo>
                                <a:cubicBezTo>
                                  <a:pt x="53645" y="14694"/>
                                  <a:pt x="88138" y="58750"/>
                                  <a:pt x="89421" y="98996"/>
                                </a:cubicBezTo>
                                <a:cubicBezTo>
                                  <a:pt x="91973" y="137325"/>
                                  <a:pt x="72809" y="175006"/>
                                  <a:pt x="60033" y="193535"/>
                                </a:cubicBezTo>
                                <a:cubicBezTo>
                                  <a:pt x="38951" y="192253"/>
                                  <a:pt x="22987" y="190335"/>
                                  <a:pt x="12128" y="187147"/>
                                </a:cubicBezTo>
                                <a:cubicBezTo>
                                  <a:pt x="8928" y="186500"/>
                                  <a:pt x="4470" y="185229"/>
                                  <a:pt x="0" y="183960"/>
                                </a:cubicBezTo>
                                <a:cubicBezTo>
                                  <a:pt x="13411" y="171171"/>
                                  <a:pt x="33846" y="147549"/>
                                  <a:pt x="44069" y="111125"/>
                                </a:cubicBezTo>
                                <a:cubicBezTo>
                                  <a:pt x="58115" y="60033"/>
                                  <a:pt x="44069" y="25540"/>
                                  <a:pt x="30010" y="0"/>
                                </a:cubicBezTo>
                                <a:close/>
                              </a:path>
                            </a:pathLst>
                          </a:custGeom>
                          <a:ln w="0" cap="flat">
                            <a:miter lim="127000"/>
                          </a:ln>
                        </wps:spPr>
                        <wps:style>
                          <a:lnRef idx="0">
                            <a:srgbClr val="000000">
                              <a:alpha val="0"/>
                            </a:srgbClr>
                          </a:lnRef>
                          <a:fillRef idx="1">
                            <a:srgbClr val="005CA9"/>
                          </a:fillRef>
                          <a:effectRef idx="0">
                            <a:scrgbClr r="0" g="0" b="0"/>
                          </a:effectRef>
                          <a:fontRef idx="none"/>
                        </wps:style>
                        <wps:bodyPr/>
                      </wps:wsp>
                    </wpg:wgp>
                  </a:graphicData>
                </a:graphic>
              </wp:anchor>
            </w:drawing>
          </mc:Choice>
          <mc:Fallback xmlns:a="http://schemas.openxmlformats.org/drawingml/2006/main">
            <w:pict>
              <v:group id="Group 6393" style="width:148.818pt;height:26.9215pt;position:absolute;mso-position-horizontal-relative:text;mso-position-horizontal:absolute;margin-left:0.000202179pt;mso-position-vertical-relative:text;margin-top:-2.96428pt;" coordsize="18899,3419">
                <v:shape id="Shape 79" style="position:absolute;width:2374;height:2751;left:6575;top:643;" coordsize="237477,275120" path="m0,0l50622,0l50622,149225c50622,198501,80086,228041,118745,228041c157836,228041,186855,198501,186855,149225l186855,0l237477,0l237477,159944c237477,222047,190906,275120,118745,275120c46571,275120,0,222047,0,159944l0,0x">
                  <v:stroke weight="0pt" endcap="flat" joinstyle="miter" miterlimit="10" on="false" color="#000000" opacity="0"/>
                  <v:fill on="true" color="#005ca9"/>
                </v:shape>
                <v:shape id="Shape 80" style="position:absolute;width:2243;height:2693;left:9516;top:643;" coordsize="224396,269329" path="m0,0l27356,0l174307,168046l174307,0l224396,0l224396,269329l196736,269329l50076,101524l50076,268872l0,268872l0,0x">
                  <v:stroke weight="0pt" endcap="flat" joinstyle="miter" miterlimit="10" on="false" color="#000000" opacity="0"/>
                  <v:fill on="true" color="#005ca9"/>
                </v:shape>
                <v:shape id="Shape 8762" style="position:absolute;width:519;height:2688;left:12359;top:643;" coordsize="51968,268872" path="m0,0l51968,0l51968,268872l0,268872l0,0">
                  <v:stroke weight="0pt" endcap="flat" joinstyle="miter" miterlimit="10" on="false" color="#000000" opacity="0"/>
                  <v:fill on="true" color="#005ca9"/>
                </v:shape>
                <v:shape id="Shape 82" style="position:absolute;width:1444;height:2861;left:13323;top:557;" coordsize="144475,286167" path="m144475,0l144475,44909l107956,52619c74268,67520,50622,102405,50622,143077c50622,183730,74268,218617,107956,233520l144475,241233l144475,286167l115366,283260c49521,269916,0,212219,0,143077c0,73924,49521,16244,115366,2905l144475,0x">
                  <v:stroke weight="0pt" endcap="flat" joinstyle="miter" miterlimit="10" on="false" color="#000000" opacity="0"/>
                  <v:fill on="true" color="#005ca9"/>
                </v:shape>
                <v:shape id="Shape 83" style="position:absolute;width:1445;height:2861;left:14768;top:557;" coordsize="144501,286169" path="m13,0c79832,0,144501,64046,144501,143078c144501,175298,133744,205003,115621,228917l138303,251638l105359,284582l81788,261023c58509,276847,30366,286169,13,286169l0,286168l0,241234l13,241236c17602,241236,34061,236156,48146,227355l16358,195593l49340,162649l80404,193700c88925,178918,93853,161595,93853,143078c93853,88849,51829,44907,13,44907l0,44910l0,1l13,0x">
                  <v:stroke weight="0pt" endcap="flat" joinstyle="miter" miterlimit="10" on="false" color="#000000" opacity="0"/>
                  <v:fill on="true" color="#005ca9"/>
                </v:shape>
                <v:shape id="Shape 84" style="position:absolute;width:1333;height:2688;left:16230;top:643;" coordsize="133318,268872" path="m117539,0l133318,0l133318,78841l93561,174028l133318,174028l133318,218237l75095,218237l53937,268872l0,268872l117539,0x">
                  <v:stroke weight="0pt" endcap="flat" joinstyle="miter" miterlimit="10" on="false" color="#000000" opacity="0"/>
                  <v:fill on="true" color="#005ca9"/>
                </v:shape>
                <v:shape id="Shape 85" style="position:absolute;width:1336;height:2688;left:17563;top:643;" coordsize="133636,268872" path="m0,0l19082,0l133636,268872l78162,268872l57677,218237l0,218237l0,174028l39757,174028l641,77305l0,78841l0,0x">
                  <v:stroke weight="0pt" endcap="flat" joinstyle="miter" miterlimit="10" on="false" color="#000000" opacity="0"/>
                  <v:fill on="true" color="#005ca9"/>
                </v:shape>
                <v:shape id="Shape 86" style="position:absolute;width:1845;height:376;left:0;top:2919;" coordsize="184582,37681" path="m21082,0l129667,0c134125,3823,139243,8293,144348,12128c156489,21704,169901,30645,184582,37681l0,37681l21082,0x">
                  <v:stroke weight="0pt" endcap="flat" joinstyle="miter" miterlimit="10" on="false" color="#000000" opacity="0"/>
                  <v:fill on="true" color="#005ca9"/>
                </v:shape>
                <v:shape id="Shape 87" style="position:absolute;width:3991;height:2772;left:1488;top:556;" coordsize="399199,277216" path="m76645,0c70256,5118,32575,79197,79197,144348c92608,162865,111773,185229,134760,198653c158394,212065,173736,215252,183947,218440c201828,222910,229299,224828,265062,226759c293815,228663,352577,228663,362788,228663l373659,228663l399199,277216c399199,277216,313614,277216,274015,275285c228663,272745,194170,270180,171818,264439c159042,260604,139243,256121,109220,238874c81115,222288,51740,193535,36398,169266c0,111125,8941,71539,14046,52375c24270,38329,37681,24270,52362,14059c62586,6388,69609,3188,76645,0x">
                  <v:stroke weight="0pt" endcap="flat" joinstyle="miter" miterlimit="10" on="false" color="#000000" opacity="0"/>
                  <v:fill on="true" color="#005ca9"/>
                </v:shape>
                <v:shape id="Shape 88" style="position:absolute;width:3046;height:3296;left:855;top:0;" coordsize="304673,329624" path="m168146,2098c177607,2797,187627,4355,198006,7069c242087,19198,279781,46668,304673,82431c304673,82431,266992,33257,202476,27503c199288,27503,196736,26868,193535,26868c161608,26233,130950,37092,106032,55609c89421,67102,75375,81796,63881,98408c63881,99690,61316,102243,58763,106713l58128,107983c57493,109253,56845,109901,56845,111184c48552,126500,37681,153335,37681,187193c37046,230627,56223,261920,63881,272779c63881,273414,82398,285555,109868,290660c120726,292578,131585,293213,140526,293213c148184,298953,155854,304719,164160,309177c177571,317483,189065,322588,199288,326423c188430,328341,177571,329624,167348,329624c131585,329624,97092,312364,68986,290660c35141,264473,10871,228697,4483,189098c3835,184628,3200,180157,2553,173769c0,146312,3835,112454,23000,80526c38964,52421,63246,28138,103467,10892c116411,5625,139764,0,168146,2098x">
                  <v:stroke weight="0pt" endcap="flat" joinstyle="miter" miterlimit="10" on="false" color="#000000" opacity="0"/>
                  <v:fill on="true" color="#005ca9"/>
                </v:shape>
                <v:shape id="Shape 89" style="position:absolute;width:919;height:1935;left:3251;top:703;" coordsize="91973,193535" path="m30010,0c53645,14694,88138,58750,89421,98996c91973,137325,72809,175006,60033,193535c38951,192253,22987,190335,12128,187147c8928,186500,4470,185229,0,183960c13411,171171,33846,147549,44069,111125c58115,60033,44069,25540,30010,0x">
                  <v:stroke weight="0pt" endcap="flat" joinstyle="miter" miterlimit="10" on="false" color="#000000" opacity="0"/>
                  <v:fill on="true" color="#005ca9"/>
                </v:shape>
                <w10:wrap type="square"/>
              </v:group>
            </w:pict>
          </mc:Fallback>
        </mc:AlternateContent>
      </w:r>
      <w:r>
        <w:rPr>
          <w:color w:val="005CA9"/>
          <w:sz w:val="24"/>
        </w:rPr>
        <w:t>Všeobecné pojistné podmínky</w:t>
      </w:r>
    </w:p>
    <w:p w14:paraId="019B3887" w14:textId="77777777" w:rsidR="00D84C8E" w:rsidRDefault="00652612">
      <w:pPr>
        <w:spacing w:after="0" w:line="265" w:lineRule="auto"/>
        <w:ind w:left="10" w:right="-15" w:hanging="10"/>
        <w:jc w:val="right"/>
      </w:pPr>
      <w:r>
        <w:rPr>
          <w:color w:val="005CA9"/>
          <w:sz w:val="24"/>
        </w:rPr>
        <w:t xml:space="preserve">pojištění odpovědnosti z provozu vozidla (POV) </w:t>
      </w:r>
    </w:p>
    <w:p w14:paraId="3AD44C10" w14:textId="77777777" w:rsidR="00D84C8E" w:rsidRDefault="00652612">
      <w:pPr>
        <w:spacing w:after="0" w:line="265" w:lineRule="auto"/>
        <w:ind w:left="10" w:right="-15" w:hanging="10"/>
        <w:jc w:val="right"/>
      </w:pPr>
      <w:r>
        <w:rPr>
          <w:color w:val="005CA9"/>
          <w:sz w:val="24"/>
        </w:rPr>
        <w:t>– zvláštní část</w:t>
      </w:r>
    </w:p>
    <w:p w14:paraId="7D76E46A" w14:textId="77777777" w:rsidR="00D84C8E" w:rsidRDefault="00652612">
      <w:pPr>
        <w:spacing w:after="479" w:line="265" w:lineRule="auto"/>
        <w:ind w:left="10" w:right="-15" w:hanging="10"/>
        <w:jc w:val="right"/>
      </w:pPr>
      <w:r>
        <w:rPr>
          <w:color w:val="005CA9"/>
          <w:sz w:val="24"/>
        </w:rPr>
        <w:t>UCZ/POV/24</w:t>
      </w:r>
    </w:p>
    <w:p w14:paraId="5525C3AC" w14:textId="77777777" w:rsidR="00D84C8E" w:rsidRDefault="00652612">
      <w:pPr>
        <w:pStyle w:val="Nadpis1"/>
        <w:ind w:left="0" w:firstLine="0"/>
      </w:pPr>
      <w:r>
        <w:t>Obsah</w:t>
      </w:r>
    </w:p>
    <w:p w14:paraId="24D07F6B" w14:textId="77777777" w:rsidR="00D84C8E" w:rsidRDefault="00652612">
      <w:pPr>
        <w:ind w:left="-15" w:firstLine="0"/>
      </w:pPr>
      <w:r>
        <w:t xml:space="preserve">čl. </w:t>
      </w:r>
      <w:proofErr w:type="gramStart"/>
      <w:r>
        <w:t>1  Všeobecná</w:t>
      </w:r>
      <w:proofErr w:type="gramEnd"/>
      <w:r>
        <w:t xml:space="preserve"> ustanovení čl. 2  Rozsah pojištění, plnění pojistitele</w:t>
      </w:r>
    </w:p>
    <w:p w14:paraId="6DB4EEDB" w14:textId="77777777" w:rsidR="00D84C8E" w:rsidRDefault="00652612">
      <w:pPr>
        <w:ind w:left="-15" w:right="7546" w:firstLine="0"/>
      </w:pPr>
      <w:r>
        <w:t xml:space="preserve">čl. </w:t>
      </w:r>
      <w:proofErr w:type="gramStart"/>
      <w:r>
        <w:t>3  Územní</w:t>
      </w:r>
      <w:proofErr w:type="gramEnd"/>
      <w:r>
        <w:t xml:space="preserve"> rozsah pojištění čl. 4  Pojistné, Bonus-Malus</w:t>
      </w:r>
    </w:p>
    <w:p w14:paraId="513C303C" w14:textId="77777777" w:rsidR="00D84C8E" w:rsidRDefault="00652612">
      <w:pPr>
        <w:spacing w:after="233"/>
        <w:ind w:left="-15" w:right="4398" w:firstLine="0"/>
      </w:pPr>
      <w:r>
        <w:t xml:space="preserve">čl. </w:t>
      </w:r>
      <w:proofErr w:type="gramStart"/>
      <w:r>
        <w:t>5  Povinnosti</w:t>
      </w:r>
      <w:proofErr w:type="gramEnd"/>
      <w:r>
        <w:t xml:space="preserve"> pojistníka, pojištěného a dalších účastníků pojištění čl. 6  Výluky čl. 7  Právo pojistitele na náhradu vyplaceného plnění čl. 8  Spoluúčast čl. 9  Zánik pojištění čl.10  Závěrečná ustanovení</w:t>
      </w:r>
    </w:p>
    <w:p w14:paraId="0D133E33" w14:textId="77777777" w:rsidR="00D84C8E" w:rsidRDefault="00652612">
      <w:pPr>
        <w:ind w:left="-15" w:right="4" w:firstLine="0"/>
      </w:pPr>
      <w:r>
        <w:t xml:space="preserve">Pojištění odpovědnosti za újmu vzniklou provozem vozidla (dále jen „POV“) se řídí pojistnou smlouvou, touto zvláštní částí všeobecných pojistných podmínek pojištění odpovědnosti z provozu vozidla UCZ/POV/24, všeobecnými pojistnými podmínkami pojištění vozidel – zvláštní část UCZ/Voz/24 (dále jen „UCZ/Voz/24“), všeobecnými pojistnými podmínkami – obecná část UCZ/15 (dále jen „UCZ/15“), zákonem č. 89/2012 Sb., občanský zákoník, zákonem </w:t>
      </w:r>
    </w:p>
    <w:p w14:paraId="3645DA2F" w14:textId="77777777" w:rsidR="00D84C8E" w:rsidRDefault="00652612">
      <w:pPr>
        <w:spacing w:after="357"/>
        <w:ind w:left="-15" w:right="4" w:firstLine="0"/>
      </w:pPr>
      <w:r>
        <w:t>č. 30/2024 Sb., o pojištění odpovědnosti z provozu vozidla (dále jen ZPOV), a dalšími příslušnými právními předpisy. Pojištění se sjednává jako pojištění škodové.</w:t>
      </w:r>
    </w:p>
    <w:p w14:paraId="30D004A2" w14:textId="77777777" w:rsidR="00D84C8E" w:rsidRDefault="00652612">
      <w:pPr>
        <w:pStyle w:val="Nadpis1"/>
        <w:ind w:left="-5"/>
      </w:pPr>
      <w:r>
        <w:t>Článek 1</w:t>
      </w:r>
    </w:p>
    <w:p w14:paraId="374E803C" w14:textId="77777777" w:rsidR="00D84C8E" w:rsidRDefault="00652612">
      <w:pPr>
        <w:pStyle w:val="Nadpis2"/>
        <w:ind w:left="-5"/>
      </w:pPr>
      <w:r>
        <w:t xml:space="preserve">Všeobecná ustanovení </w:t>
      </w:r>
    </w:p>
    <w:p w14:paraId="599A5F47" w14:textId="77777777" w:rsidR="00D84C8E" w:rsidRDefault="00652612">
      <w:pPr>
        <w:numPr>
          <w:ilvl w:val="0"/>
          <w:numId w:val="1"/>
        </w:numPr>
        <w:ind w:right="4" w:hanging="340"/>
      </w:pPr>
      <w:r>
        <w:t>POV se sjednává pro případ vzniku právním předpisem stanovené povinnosti pojištěného nahradit újmu vzniklou jinému provozem vozidla uvedeného v pojistné smlouvě.</w:t>
      </w:r>
    </w:p>
    <w:p w14:paraId="12460CB3" w14:textId="77777777" w:rsidR="00D84C8E" w:rsidRDefault="00652612">
      <w:pPr>
        <w:numPr>
          <w:ilvl w:val="0"/>
          <w:numId w:val="1"/>
        </w:numPr>
        <w:spacing w:after="357"/>
        <w:ind w:right="4" w:hanging="34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1B24E3" wp14:editId="0F62EE09">
                <wp:simplePos x="0" y="0"/>
                <wp:positionH relativeFrom="page">
                  <wp:posOffset>199328</wp:posOffset>
                </wp:positionH>
                <wp:positionV relativeFrom="page">
                  <wp:posOffset>9683936</wp:posOffset>
                </wp:positionV>
                <wp:extent cx="89529" cy="540067"/>
                <wp:effectExtent l="0" t="0" r="0" b="0"/>
                <wp:wrapSquare wrapText="bothSides"/>
                <wp:docPr id="6392" name="Group 6392"/>
                <wp:cNvGraphicFramePr/>
                <a:graphic xmlns:a="http://schemas.openxmlformats.org/drawingml/2006/main">
                  <a:graphicData uri="http://schemas.microsoft.com/office/word/2010/wordprocessingGroup">
                    <wpg:wgp>
                      <wpg:cNvGrpSpPr/>
                      <wpg:grpSpPr>
                        <a:xfrm>
                          <a:off x="0" y="0"/>
                          <a:ext cx="89529" cy="540067"/>
                          <a:chOff x="0" y="0"/>
                          <a:chExt cx="89529" cy="540067"/>
                        </a:xfrm>
                      </wpg:grpSpPr>
                      <wps:wsp>
                        <wps:cNvPr id="78" name="Rectangle 78"/>
                        <wps:cNvSpPr/>
                        <wps:spPr>
                          <a:xfrm rot="-5399999">
                            <a:off x="-299607" y="121385"/>
                            <a:ext cx="718289" cy="119074"/>
                          </a:xfrm>
                          <a:prstGeom prst="rect">
                            <a:avLst/>
                          </a:prstGeom>
                          <a:ln>
                            <a:noFill/>
                          </a:ln>
                        </wps:spPr>
                        <wps:txbx>
                          <w:txbxContent>
                            <w:p w14:paraId="709B5C9D" w14:textId="77777777" w:rsidR="00D84C8E" w:rsidRDefault="00652612">
                              <w:pPr>
                                <w:spacing w:after="160"/>
                                <w:ind w:left="0" w:right="0" w:firstLine="0"/>
                              </w:pPr>
                              <w:r>
                                <w:rPr>
                                  <w:sz w:val="15"/>
                                </w:rPr>
                                <w:t>EU 4398/1/E</w:t>
                              </w:r>
                            </w:p>
                          </w:txbxContent>
                        </wps:txbx>
                        <wps:bodyPr horzOverflow="overflow" vert="horz" lIns="0" tIns="0" rIns="0" bIns="0" rtlCol="0">
                          <a:noAutofit/>
                        </wps:bodyPr>
                      </wps:wsp>
                    </wpg:wgp>
                  </a:graphicData>
                </a:graphic>
              </wp:anchor>
            </w:drawing>
          </mc:Choice>
          <mc:Fallback xmlns:a="http://schemas.openxmlformats.org/drawingml/2006/main">
            <w:pict>
              <v:group id="Group 6392" style="width:7.04956pt;height:42.525pt;position:absolute;mso-position-horizontal-relative:page;mso-position-horizontal:absolute;margin-left:15.6951pt;mso-position-vertical-relative:page;margin-top:762.515pt;" coordsize="895,5400">
                <v:rect id="Rectangle 78" style="position:absolute;width:7182;height:1190;left:-2996;top:1213;rotation:270;" filled="f" stroked="f">
                  <v:textbox inset="0,0,0,0" style="layout-flow:vertical;mso-layout-flow-alt:bottom-to-top">
                    <w:txbxContent>
                      <w:p>
                        <w:pPr>
                          <w:spacing w:before="0" w:after="160" w:line="259" w:lineRule="auto"/>
                          <w:ind w:left="0" w:right="0" w:firstLine="0"/>
                        </w:pPr>
                        <w:r>
                          <w:rPr>
                            <w:sz w:val="15"/>
                          </w:rPr>
                          <w:t xml:space="preserve">EU 4398/1/E</w:t>
                        </w:r>
                      </w:p>
                    </w:txbxContent>
                  </v:textbox>
                </v:rect>
                <w10:wrap type="square"/>
              </v:group>
            </w:pict>
          </mc:Fallback>
        </mc:AlternateContent>
      </w:r>
      <w:r>
        <w:t>Pojistnou událostí z POV je nahodilá událost, při níž byla provozem pojištěného vozidla způsobena za trvání pojištění újma, kterou je pojištěný povinen poškozenému nahradit, je-li zároveň spojena se vznikem povinnosti pojistitele poskytnout pojistné plnění v rozsahu a za podmínek stanovených ZPOV (dále jen „pojistná událost“).</w:t>
      </w:r>
    </w:p>
    <w:p w14:paraId="2461E3B4" w14:textId="77777777" w:rsidR="00D84C8E" w:rsidRDefault="00652612">
      <w:pPr>
        <w:pStyle w:val="Nadpis1"/>
        <w:ind w:left="-5"/>
      </w:pPr>
      <w:r>
        <w:t>Článek 2</w:t>
      </w:r>
    </w:p>
    <w:p w14:paraId="5A693E77" w14:textId="77777777" w:rsidR="00D84C8E" w:rsidRDefault="00652612">
      <w:pPr>
        <w:pStyle w:val="Nadpis2"/>
        <w:ind w:left="-5"/>
      </w:pPr>
      <w:r>
        <w:t>Rozsah pojištění, plnění pojistitele</w:t>
      </w:r>
    </w:p>
    <w:p w14:paraId="128E3F6A" w14:textId="77777777" w:rsidR="00D84C8E" w:rsidRDefault="00652612">
      <w:pPr>
        <w:numPr>
          <w:ilvl w:val="0"/>
          <w:numId w:val="2"/>
        </w:numPr>
        <w:ind w:right="4" w:hanging="340"/>
      </w:pPr>
      <w:r>
        <w:t xml:space="preserve">Rozsah pojištění je upraven ZPOV. </w:t>
      </w:r>
    </w:p>
    <w:p w14:paraId="7623735C" w14:textId="77777777" w:rsidR="00D84C8E" w:rsidRDefault="00652612">
      <w:pPr>
        <w:numPr>
          <w:ilvl w:val="0"/>
          <w:numId w:val="2"/>
        </w:numPr>
        <w:ind w:right="4" w:hanging="340"/>
      </w:pPr>
      <w:r>
        <w:t>Nestanoví-li ZPOV jinak, má pojištěný právo, aby za něj pojistitel nahradil v rozsahu a ve výši, v jaké pojištěnému vznikla povinnost k náhradě, poškozenému</w:t>
      </w:r>
    </w:p>
    <w:p w14:paraId="490D96EB" w14:textId="77777777" w:rsidR="00D84C8E" w:rsidRDefault="00652612">
      <w:pPr>
        <w:numPr>
          <w:ilvl w:val="1"/>
          <w:numId w:val="2"/>
        </w:numPr>
        <w:ind w:right="4" w:hanging="340"/>
      </w:pPr>
      <w:r>
        <w:t>újmu vzniklou ublížením na zdraví nebo usmrcením,</w:t>
      </w:r>
    </w:p>
    <w:p w14:paraId="29639103" w14:textId="77777777" w:rsidR="00D84C8E" w:rsidRDefault="00652612">
      <w:pPr>
        <w:numPr>
          <w:ilvl w:val="1"/>
          <w:numId w:val="2"/>
        </w:numPr>
        <w:spacing w:after="0" w:line="250" w:lineRule="auto"/>
        <w:ind w:right="4" w:hanging="340"/>
      </w:pPr>
      <w:r>
        <w:t>účelně vynaložené náklady spojené s péčí o zdraví zraněného zvířete a škodu vzniklou poškozením, zničením nebo ztrátou věci, jakož i škodu vzniklou odcizením věci, pozbyla-li fyzická osoba schopnost ji opatrovat, c) ušlý zisk a</w:t>
      </w:r>
    </w:p>
    <w:p w14:paraId="6BBED92F" w14:textId="77777777" w:rsidR="00D84C8E" w:rsidRDefault="00652612">
      <w:pPr>
        <w:ind w:left="690" w:right="83"/>
      </w:pPr>
      <w:r>
        <w:t>d) účelně vynaložené náklady spojené s právním zastoupením při uplatňování práv podle písmen a) až c); v souvislosti se škodou podle písmene b) nebo c) však jen v případě marného uplynutí lhůty podle § 2798 odst. 2 občanského zákoníku nebo neoprávněného odmítnutí anebo neoprávněného krácení pojistného plnění pojistitelem.</w:t>
      </w:r>
    </w:p>
    <w:p w14:paraId="139EC9A7" w14:textId="77777777" w:rsidR="00D84C8E" w:rsidRDefault="00652612">
      <w:pPr>
        <w:numPr>
          <w:ilvl w:val="0"/>
          <w:numId w:val="2"/>
        </w:numPr>
        <w:ind w:right="4" w:hanging="340"/>
      </w:pPr>
      <w:r>
        <w:t>Pojištěný má právo, aby za něj pojistitel nahradil</w:t>
      </w:r>
    </w:p>
    <w:p w14:paraId="4DAABC98" w14:textId="77777777" w:rsidR="00D84C8E" w:rsidRDefault="00652612">
      <w:pPr>
        <w:numPr>
          <w:ilvl w:val="1"/>
          <w:numId w:val="2"/>
        </w:numPr>
        <w:ind w:right="4" w:hanging="340"/>
      </w:pPr>
      <w:r>
        <w:t>náklady vynaložené zdravotní pojišťovnou na plně nebo částečně hrazené zdravotní služby z veřejného zdravotního pojištění podle zákona upravujícího veřejné zdravotní pojištění, jestliže zdravotní pojišťovna tyto zdravotní služby poskytnuté poškozenému hradila,</w:t>
      </w:r>
    </w:p>
    <w:p w14:paraId="2A120483" w14:textId="77777777" w:rsidR="00D84C8E" w:rsidRDefault="00652612">
      <w:pPr>
        <w:numPr>
          <w:ilvl w:val="1"/>
          <w:numId w:val="2"/>
        </w:numPr>
        <w:ind w:right="4" w:hanging="340"/>
      </w:pPr>
      <w:r>
        <w:t xml:space="preserve">regresní náhradu podle zákona upravujícího nemocenské pojištění, </w:t>
      </w:r>
    </w:p>
    <w:p w14:paraId="1043E1A5" w14:textId="77777777" w:rsidR="00D84C8E" w:rsidRDefault="00652612">
      <w:pPr>
        <w:numPr>
          <w:ilvl w:val="1"/>
          <w:numId w:val="2"/>
        </w:numPr>
        <w:ind w:right="4" w:hanging="340"/>
      </w:pPr>
      <w:r>
        <w:t xml:space="preserve">náklady zásahu hasičského záchranného sboru nebo jednotky sboru dobrovolných hasičů hrazené podle zákona upravujícího hasičský záchranný sbor, </w:t>
      </w:r>
    </w:p>
    <w:p w14:paraId="1734386E" w14:textId="77777777" w:rsidR="00D84C8E" w:rsidRDefault="00652612">
      <w:pPr>
        <w:numPr>
          <w:ilvl w:val="1"/>
          <w:numId w:val="2"/>
        </w:numPr>
        <w:spacing w:after="646"/>
        <w:ind w:right="4" w:hanging="340"/>
      </w:pPr>
      <w:r>
        <w:t>regresní náhradu instituci z jiného členského státu, která v souladu s právními předpisy upravujícími systém sociálního zabezpečení poskytla poškozenému dávku z tohoto zabezpečení a která má podle těchto předpisů právo na náhradu této dávky vůči pojištěnému, a</w:t>
      </w:r>
    </w:p>
    <w:p w14:paraId="4965A45C" w14:textId="77777777" w:rsidR="00D84C8E" w:rsidRDefault="00652612">
      <w:pPr>
        <w:tabs>
          <w:tab w:val="center" w:pos="4278"/>
          <w:tab w:val="center" w:pos="6422"/>
        </w:tabs>
        <w:spacing w:after="27"/>
        <w:ind w:left="-15" w:right="0" w:firstLine="0"/>
      </w:pPr>
      <w:r>
        <w:t>UNIQA linka +420 488 125 125</w:t>
      </w:r>
      <w:r>
        <w:tab/>
        <w:t>e-mail: info@uniqa.cz</w:t>
      </w:r>
      <w:r>
        <w:tab/>
        <w:t>www.uniqa.cz</w:t>
      </w:r>
    </w:p>
    <w:p w14:paraId="5B5F3370" w14:textId="77777777" w:rsidR="00D84C8E" w:rsidRDefault="00652612">
      <w:pPr>
        <w:ind w:left="-15" w:right="103" w:firstLine="0"/>
      </w:pPr>
      <w:r>
        <w:t xml:space="preserve">UNIQA pojišťovna, a.s., se sídlem Evropská 810/136, 160 00 Praha 6, Česká republika, IČO: 492 40 </w:t>
      </w:r>
      <w:proofErr w:type="gramStart"/>
      <w:r>
        <w:t>480,  společnost</w:t>
      </w:r>
      <w:proofErr w:type="gramEnd"/>
      <w:r>
        <w:t xml:space="preserve"> je zapsána v obchodním rejstříku vedeném Městským soudem v Praze, oddíl B, vložka 2012</w:t>
      </w:r>
    </w:p>
    <w:p w14:paraId="6E453D9B" w14:textId="77777777" w:rsidR="00D84C8E" w:rsidRDefault="00652612">
      <w:pPr>
        <w:numPr>
          <w:ilvl w:val="1"/>
          <w:numId w:val="2"/>
        </w:numPr>
        <w:ind w:right="4" w:hanging="340"/>
      </w:pPr>
      <w:r>
        <w:lastRenderedPageBreak/>
        <w:t xml:space="preserve">zachraňovací náklady podle občanského zákoníku včetně nákladů vynaložených na splnění povinnosti z bezpečnostních, hygienických nebo ekologických důvodů zlikvidovat následky dopravní nehody. </w:t>
      </w:r>
    </w:p>
    <w:p w14:paraId="71594F0E" w14:textId="77777777" w:rsidR="00D84C8E" w:rsidRDefault="00652612">
      <w:pPr>
        <w:numPr>
          <w:ilvl w:val="0"/>
          <w:numId w:val="2"/>
        </w:numPr>
        <w:spacing w:after="355"/>
        <w:ind w:right="4" w:hanging="340"/>
      </w:pPr>
      <w:r>
        <w:t>Limity pojistného plnění jsou ujednány v pojistné smlouvě.</w:t>
      </w:r>
    </w:p>
    <w:p w14:paraId="0A3AADB9" w14:textId="77777777" w:rsidR="00D84C8E" w:rsidRDefault="00652612">
      <w:pPr>
        <w:pStyle w:val="Nadpis1"/>
        <w:ind w:left="-5"/>
      </w:pPr>
      <w:r>
        <w:t>Článek 3</w:t>
      </w:r>
    </w:p>
    <w:p w14:paraId="08273966" w14:textId="77777777" w:rsidR="00D84C8E" w:rsidRDefault="00652612">
      <w:pPr>
        <w:pStyle w:val="Nadpis2"/>
        <w:ind w:left="-5"/>
      </w:pPr>
      <w:r>
        <w:t>Územní rozsah pojištění</w:t>
      </w:r>
    </w:p>
    <w:p w14:paraId="63D1B174" w14:textId="77777777" w:rsidR="00D84C8E" w:rsidRDefault="00652612">
      <w:pPr>
        <w:spacing w:after="357"/>
        <w:ind w:left="335" w:right="4"/>
      </w:pPr>
      <w:r>
        <w:t xml:space="preserve">1. POV kryje na základě jediného pojistného pojistné události, které vzniknou v členských státech Evropské unie a jiných smluvních státech Dohody o Evropském hospodářském prostoru a na území států, která </w:t>
      </w:r>
      <w:proofErr w:type="gramStart"/>
      <w:r>
        <w:t>určí</w:t>
      </w:r>
      <w:proofErr w:type="gramEnd"/>
      <w:r>
        <w:t xml:space="preserve"> shromáždění členů České kanceláře pojistitelů, a dále na území států vyznačených na zelené kartě, byla-li pojistitelem vydána.</w:t>
      </w:r>
    </w:p>
    <w:p w14:paraId="7E91A034" w14:textId="77777777" w:rsidR="00D84C8E" w:rsidRDefault="00652612">
      <w:pPr>
        <w:pStyle w:val="Nadpis1"/>
        <w:ind w:left="-5"/>
      </w:pPr>
      <w:r>
        <w:t>Článek 4</w:t>
      </w:r>
    </w:p>
    <w:p w14:paraId="33BBEEC4" w14:textId="77777777" w:rsidR="00D84C8E" w:rsidRDefault="00652612">
      <w:pPr>
        <w:pStyle w:val="Nadpis2"/>
        <w:ind w:left="-5"/>
      </w:pPr>
      <w:r>
        <w:t xml:space="preserve">Pojistné, Bonus-Malus </w:t>
      </w:r>
    </w:p>
    <w:p w14:paraId="4BC3A30E" w14:textId="77777777" w:rsidR="00D84C8E" w:rsidRDefault="00652612">
      <w:pPr>
        <w:numPr>
          <w:ilvl w:val="0"/>
          <w:numId w:val="3"/>
        </w:numPr>
        <w:ind w:right="4" w:hanging="340"/>
      </w:pPr>
      <w:r>
        <w:t>Pojistitel při stanovení výše pojistného nebo její změny zohlední předcházející škodný průběh POV pojistníka nebo provozovatele vozidla, není-li pojistníkem, a to za dobu nejméně 5 let, nejdéle však za dobu 20 let.</w:t>
      </w:r>
    </w:p>
    <w:p w14:paraId="2B531F5D" w14:textId="77777777" w:rsidR="00D84C8E" w:rsidRDefault="00652612">
      <w:pPr>
        <w:numPr>
          <w:ilvl w:val="0"/>
          <w:numId w:val="3"/>
        </w:numPr>
        <w:ind w:right="4" w:hanging="340"/>
      </w:pPr>
      <w:r>
        <w:t>Pojistné se stanovuje v závislosti na výsledcích škodného průběhu dané skupiny vozidel dle sazebníku pojistitele.</w:t>
      </w:r>
    </w:p>
    <w:p w14:paraId="2EE6ED01" w14:textId="77777777" w:rsidR="00D84C8E" w:rsidRDefault="00652612">
      <w:pPr>
        <w:numPr>
          <w:ilvl w:val="0"/>
          <w:numId w:val="3"/>
        </w:numPr>
        <w:ind w:right="4" w:hanging="340"/>
      </w:pPr>
      <w:r>
        <w:t xml:space="preserve">Článek 5 odst. 5.5. UCZ/15 se doplňuje tak, že pojistitel je oprávněn upravit výši pojistného v případech: </w:t>
      </w:r>
    </w:p>
    <w:p w14:paraId="6C1F1E5F" w14:textId="77777777" w:rsidR="00D84C8E" w:rsidRDefault="00652612">
      <w:pPr>
        <w:numPr>
          <w:ilvl w:val="1"/>
          <w:numId w:val="4"/>
        </w:numPr>
        <w:ind w:right="4" w:hanging="340"/>
      </w:pPr>
      <w:r>
        <w:t>kdy dojde ke změně právních předpisů majících vliv na plnění pojistitele nebo na jeho odvodové povinnosti vůči státu či jeho organizačním složkám nebo</w:t>
      </w:r>
    </w:p>
    <w:p w14:paraId="00DD08A5" w14:textId="77777777" w:rsidR="00D84C8E" w:rsidRDefault="00652612">
      <w:pPr>
        <w:numPr>
          <w:ilvl w:val="1"/>
          <w:numId w:val="4"/>
        </w:numPr>
        <w:ind w:right="4" w:hanging="340"/>
      </w:pPr>
      <w:r>
        <w:t xml:space="preserve">kdy z pohledu pojistné matematiky dojde z jiných důvodů k ohrožení splnitelnosti závazků pojistitele nebo </w:t>
      </w:r>
    </w:p>
    <w:p w14:paraId="3AA1453C" w14:textId="77777777" w:rsidR="00D84C8E" w:rsidRDefault="00652612">
      <w:pPr>
        <w:numPr>
          <w:ilvl w:val="1"/>
          <w:numId w:val="4"/>
        </w:numPr>
        <w:ind w:right="4" w:hanging="340"/>
      </w:pPr>
      <w:r>
        <w:t>kdy dojde ke změně indexů vývoje cen pojištěných věcí, případně cen prací na jejich reprodukci, jež zveřejňuje Český statistický úřad, pokud za sledované období tento růst činí více než 5 %.</w:t>
      </w:r>
    </w:p>
    <w:p w14:paraId="57E9D77A" w14:textId="77777777" w:rsidR="00D84C8E" w:rsidRDefault="00652612">
      <w:pPr>
        <w:numPr>
          <w:ilvl w:val="0"/>
          <w:numId w:val="3"/>
        </w:numPr>
        <w:ind w:right="4" w:hanging="340"/>
      </w:pPr>
      <w:r>
        <w:t>Není-li v pojistné smlouvě stanoveno jinak, pojistné za POV je upravováno systémem Bonus-Malus:</w:t>
      </w:r>
    </w:p>
    <w:p w14:paraId="40FC4FF7" w14:textId="77777777" w:rsidR="00D84C8E" w:rsidRDefault="00652612">
      <w:pPr>
        <w:numPr>
          <w:ilvl w:val="1"/>
          <w:numId w:val="3"/>
        </w:numPr>
        <w:ind w:right="4" w:hanging="340"/>
      </w:pPr>
      <w:r>
        <w:t>Bonus je sleva ze základního pojistného za bezeškodný průběh.</w:t>
      </w:r>
    </w:p>
    <w:p w14:paraId="2A949F1B" w14:textId="77777777" w:rsidR="00D84C8E" w:rsidRDefault="00652612">
      <w:pPr>
        <w:numPr>
          <w:ilvl w:val="1"/>
          <w:numId w:val="3"/>
        </w:numPr>
        <w:ind w:right="4" w:hanging="340"/>
      </w:pPr>
      <w:r>
        <w:t>Malus je přirážka k základnímu pojistnému v závislosti na počtu pojistných událostí.</w:t>
      </w:r>
    </w:p>
    <w:p w14:paraId="22A8A9A0" w14:textId="77777777" w:rsidR="00D84C8E" w:rsidRDefault="00652612">
      <w:pPr>
        <w:numPr>
          <w:ilvl w:val="0"/>
          <w:numId w:val="3"/>
        </w:numPr>
        <w:ind w:right="4" w:hanging="340"/>
      </w:pPr>
      <w:r>
        <w:t>Pro přiznání Bonusu nebo uplatnění Malusu je rozhodující škodný průběh v předchozím období, jehož výsledkem je bezeškodní doba. Bezeškodní doba se udává v měsících a v návaznosti na škodný průběh může nabývat kladných i záporných hodnot.</w:t>
      </w:r>
    </w:p>
    <w:tbl>
      <w:tblPr>
        <w:tblStyle w:val="TableGrid"/>
        <w:tblW w:w="10035" w:type="dxa"/>
        <w:tblInd w:w="340" w:type="dxa"/>
        <w:tblCellMar>
          <w:top w:w="85" w:type="dxa"/>
          <w:left w:w="0" w:type="dxa"/>
          <w:bottom w:w="0" w:type="dxa"/>
          <w:right w:w="30" w:type="dxa"/>
        </w:tblCellMar>
        <w:tblLook w:val="04A0" w:firstRow="1" w:lastRow="0" w:firstColumn="1" w:lastColumn="0" w:noHBand="0" w:noVBand="1"/>
      </w:tblPr>
      <w:tblGrid>
        <w:gridCol w:w="7407"/>
        <w:gridCol w:w="1380"/>
        <w:gridCol w:w="1248"/>
      </w:tblGrid>
      <w:tr w:rsidR="00D84C8E" w14:paraId="15CBB805" w14:textId="77777777">
        <w:trPr>
          <w:trHeight w:val="556"/>
        </w:trPr>
        <w:tc>
          <w:tcPr>
            <w:tcW w:w="7407" w:type="dxa"/>
            <w:tcBorders>
              <w:top w:val="nil"/>
              <w:left w:val="nil"/>
              <w:bottom w:val="nil"/>
              <w:right w:val="nil"/>
            </w:tcBorders>
            <w:shd w:val="clear" w:color="auto" w:fill="005CA9"/>
            <w:vAlign w:val="center"/>
          </w:tcPr>
          <w:p w14:paraId="3B80184C" w14:textId="77777777" w:rsidR="00D84C8E" w:rsidRDefault="00652612">
            <w:pPr>
              <w:spacing w:after="0"/>
              <w:ind w:left="85" w:right="0" w:firstLine="0"/>
            </w:pPr>
            <w:r>
              <w:rPr>
                <w:b/>
                <w:color w:val="FFFFFF"/>
              </w:rPr>
              <w:t>Bezeškodní doba v měsících</w:t>
            </w:r>
          </w:p>
        </w:tc>
        <w:tc>
          <w:tcPr>
            <w:tcW w:w="1380" w:type="dxa"/>
            <w:tcBorders>
              <w:top w:val="nil"/>
              <w:left w:val="nil"/>
              <w:bottom w:val="nil"/>
              <w:right w:val="nil"/>
            </w:tcBorders>
            <w:shd w:val="clear" w:color="auto" w:fill="005CA9"/>
            <w:vAlign w:val="center"/>
          </w:tcPr>
          <w:p w14:paraId="3C30E5CA" w14:textId="77777777" w:rsidR="00D84C8E" w:rsidRDefault="00652612">
            <w:pPr>
              <w:spacing w:after="0"/>
              <w:ind w:left="0" w:right="0" w:firstLine="0"/>
            </w:pPr>
            <w:r>
              <w:rPr>
                <w:b/>
                <w:color w:val="FFFFFF"/>
              </w:rPr>
              <w:t>Třída</w:t>
            </w:r>
          </w:p>
        </w:tc>
        <w:tc>
          <w:tcPr>
            <w:tcW w:w="1248" w:type="dxa"/>
            <w:tcBorders>
              <w:top w:val="nil"/>
              <w:left w:val="nil"/>
              <w:bottom w:val="nil"/>
              <w:right w:val="nil"/>
            </w:tcBorders>
            <w:shd w:val="clear" w:color="auto" w:fill="005CA9"/>
          </w:tcPr>
          <w:p w14:paraId="3AEC497B" w14:textId="77777777" w:rsidR="00D84C8E" w:rsidRDefault="00652612">
            <w:pPr>
              <w:spacing w:after="0"/>
              <w:ind w:left="0" w:right="0" w:firstLine="933"/>
              <w:jc w:val="both"/>
            </w:pPr>
            <w:r>
              <w:rPr>
                <w:b/>
                <w:color w:val="FFFFFF"/>
              </w:rPr>
              <w:t xml:space="preserve"> % z pojistného</w:t>
            </w:r>
          </w:p>
        </w:tc>
      </w:tr>
      <w:tr w:rsidR="00D84C8E" w14:paraId="00D69033" w14:textId="77777777">
        <w:trPr>
          <w:trHeight w:val="316"/>
        </w:trPr>
        <w:tc>
          <w:tcPr>
            <w:tcW w:w="7407" w:type="dxa"/>
            <w:tcBorders>
              <w:top w:val="nil"/>
              <w:left w:val="nil"/>
              <w:bottom w:val="single" w:sz="2" w:space="0" w:color="005CA9"/>
              <w:right w:val="nil"/>
            </w:tcBorders>
          </w:tcPr>
          <w:p w14:paraId="435F6478" w14:textId="77777777" w:rsidR="00D84C8E" w:rsidRDefault="00652612">
            <w:pPr>
              <w:spacing w:after="0"/>
              <w:ind w:left="85" w:right="0" w:firstLine="0"/>
            </w:pPr>
            <w:r>
              <w:t>120 až 132 a více</w:t>
            </w:r>
          </w:p>
        </w:tc>
        <w:tc>
          <w:tcPr>
            <w:tcW w:w="1380" w:type="dxa"/>
            <w:tcBorders>
              <w:top w:val="nil"/>
              <w:left w:val="nil"/>
              <w:bottom w:val="single" w:sz="2" w:space="0" w:color="005CA9"/>
              <w:right w:val="nil"/>
            </w:tcBorders>
          </w:tcPr>
          <w:p w14:paraId="3D9E2277" w14:textId="77777777" w:rsidR="00D84C8E" w:rsidRDefault="00652612">
            <w:pPr>
              <w:spacing w:after="0"/>
              <w:ind w:left="47" w:right="0" w:firstLine="0"/>
            </w:pPr>
            <w:r>
              <w:t>B 10</w:t>
            </w:r>
          </w:p>
        </w:tc>
        <w:tc>
          <w:tcPr>
            <w:tcW w:w="1248" w:type="dxa"/>
            <w:tcBorders>
              <w:top w:val="nil"/>
              <w:left w:val="nil"/>
              <w:bottom w:val="single" w:sz="2" w:space="0" w:color="005CA9"/>
              <w:right w:val="nil"/>
            </w:tcBorders>
          </w:tcPr>
          <w:p w14:paraId="769D0505" w14:textId="77777777" w:rsidR="00D84C8E" w:rsidRDefault="00652612">
            <w:pPr>
              <w:spacing w:after="0"/>
              <w:ind w:left="0" w:right="55" w:firstLine="0"/>
              <w:jc w:val="right"/>
            </w:pPr>
            <w:r>
              <w:t>50 %</w:t>
            </w:r>
          </w:p>
        </w:tc>
      </w:tr>
      <w:tr w:rsidR="00D84C8E" w14:paraId="77C84215" w14:textId="77777777">
        <w:trPr>
          <w:trHeight w:val="316"/>
        </w:trPr>
        <w:tc>
          <w:tcPr>
            <w:tcW w:w="7407" w:type="dxa"/>
            <w:tcBorders>
              <w:top w:val="single" w:sz="2" w:space="0" w:color="005CA9"/>
              <w:left w:val="nil"/>
              <w:bottom w:val="single" w:sz="2" w:space="0" w:color="005CA9"/>
              <w:right w:val="nil"/>
            </w:tcBorders>
          </w:tcPr>
          <w:p w14:paraId="42669FE9" w14:textId="77777777" w:rsidR="00D84C8E" w:rsidRDefault="00652612">
            <w:pPr>
              <w:spacing w:after="0"/>
              <w:ind w:left="85" w:right="0" w:firstLine="0"/>
            </w:pPr>
            <w:r>
              <w:t>108 až 124</w:t>
            </w:r>
          </w:p>
        </w:tc>
        <w:tc>
          <w:tcPr>
            <w:tcW w:w="1380" w:type="dxa"/>
            <w:tcBorders>
              <w:top w:val="single" w:sz="2" w:space="0" w:color="005CA9"/>
              <w:left w:val="nil"/>
              <w:bottom w:val="single" w:sz="2" w:space="0" w:color="005CA9"/>
              <w:right w:val="nil"/>
            </w:tcBorders>
          </w:tcPr>
          <w:p w14:paraId="76118E00" w14:textId="77777777" w:rsidR="00D84C8E" w:rsidRDefault="00652612">
            <w:pPr>
              <w:spacing w:after="0"/>
              <w:ind w:left="99" w:right="0" w:firstLine="0"/>
            </w:pPr>
            <w:r>
              <w:t>B 9</w:t>
            </w:r>
          </w:p>
        </w:tc>
        <w:tc>
          <w:tcPr>
            <w:tcW w:w="1248" w:type="dxa"/>
            <w:tcBorders>
              <w:top w:val="single" w:sz="2" w:space="0" w:color="005CA9"/>
              <w:left w:val="nil"/>
              <w:bottom w:val="single" w:sz="2" w:space="0" w:color="005CA9"/>
              <w:right w:val="nil"/>
            </w:tcBorders>
          </w:tcPr>
          <w:p w14:paraId="1A8191EF" w14:textId="77777777" w:rsidR="00D84C8E" w:rsidRDefault="00652612">
            <w:pPr>
              <w:spacing w:after="0"/>
              <w:ind w:left="0" w:right="55" w:firstLine="0"/>
              <w:jc w:val="right"/>
            </w:pPr>
            <w:r>
              <w:t>55 %</w:t>
            </w:r>
          </w:p>
        </w:tc>
      </w:tr>
      <w:tr w:rsidR="00D84C8E" w14:paraId="2803D026" w14:textId="77777777">
        <w:trPr>
          <w:trHeight w:val="316"/>
        </w:trPr>
        <w:tc>
          <w:tcPr>
            <w:tcW w:w="7407" w:type="dxa"/>
            <w:tcBorders>
              <w:top w:val="single" w:sz="2" w:space="0" w:color="005CA9"/>
              <w:left w:val="nil"/>
              <w:bottom w:val="single" w:sz="2" w:space="0" w:color="005CA9"/>
              <w:right w:val="nil"/>
            </w:tcBorders>
          </w:tcPr>
          <w:p w14:paraId="589C0BAD" w14:textId="77777777" w:rsidR="00D84C8E" w:rsidRDefault="00652612">
            <w:pPr>
              <w:spacing w:after="0"/>
              <w:ind w:left="85" w:right="0" w:firstLine="0"/>
            </w:pPr>
            <w:r>
              <w:t>96 až 107</w:t>
            </w:r>
          </w:p>
        </w:tc>
        <w:tc>
          <w:tcPr>
            <w:tcW w:w="1380" w:type="dxa"/>
            <w:tcBorders>
              <w:top w:val="single" w:sz="2" w:space="0" w:color="005CA9"/>
              <w:left w:val="nil"/>
              <w:bottom w:val="single" w:sz="2" w:space="0" w:color="005CA9"/>
              <w:right w:val="nil"/>
            </w:tcBorders>
          </w:tcPr>
          <w:p w14:paraId="7578C2FC" w14:textId="77777777" w:rsidR="00D84C8E" w:rsidRDefault="00652612">
            <w:pPr>
              <w:spacing w:after="0"/>
              <w:ind w:left="99" w:right="0" w:firstLine="0"/>
            </w:pPr>
            <w:r>
              <w:t>B 8</w:t>
            </w:r>
          </w:p>
        </w:tc>
        <w:tc>
          <w:tcPr>
            <w:tcW w:w="1248" w:type="dxa"/>
            <w:tcBorders>
              <w:top w:val="single" w:sz="2" w:space="0" w:color="005CA9"/>
              <w:left w:val="nil"/>
              <w:bottom w:val="single" w:sz="2" w:space="0" w:color="005CA9"/>
              <w:right w:val="nil"/>
            </w:tcBorders>
          </w:tcPr>
          <w:p w14:paraId="34DD4744" w14:textId="77777777" w:rsidR="00D84C8E" w:rsidRDefault="00652612">
            <w:pPr>
              <w:spacing w:after="0"/>
              <w:ind w:left="0" w:right="55" w:firstLine="0"/>
              <w:jc w:val="right"/>
            </w:pPr>
            <w:r>
              <w:t>60 %</w:t>
            </w:r>
          </w:p>
        </w:tc>
      </w:tr>
      <w:tr w:rsidR="00D84C8E" w14:paraId="7803FF9C" w14:textId="77777777">
        <w:trPr>
          <w:trHeight w:val="316"/>
        </w:trPr>
        <w:tc>
          <w:tcPr>
            <w:tcW w:w="7407" w:type="dxa"/>
            <w:tcBorders>
              <w:top w:val="single" w:sz="2" w:space="0" w:color="005CA9"/>
              <w:left w:val="nil"/>
              <w:bottom w:val="single" w:sz="2" w:space="0" w:color="005CA9"/>
              <w:right w:val="nil"/>
            </w:tcBorders>
          </w:tcPr>
          <w:p w14:paraId="3555107B" w14:textId="77777777" w:rsidR="00D84C8E" w:rsidRDefault="00652612">
            <w:pPr>
              <w:spacing w:after="0"/>
              <w:ind w:left="85" w:right="0" w:firstLine="0"/>
            </w:pPr>
            <w:r>
              <w:t>84 až 95</w:t>
            </w:r>
          </w:p>
        </w:tc>
        <w:tc>
          <w:tcPr>
            <w:tcW w:w="1380" w:type="dxa"/>
            <w:tcBorders>
              <w:top w:val="single" w:sz="2" w:space="0" w:color="005CA9"/>
              <w:left w:val="nil"/>
              <w:bottom w:val="single" w:sz="2" w:space="0" w:color="005CA9"/>
              <w:right w:val="nil"/>
            </w:tcBorders>
          </w:tcPr>
          <w:p w14:paraId="1B660DE3" w14:textId="77777777" w:rsidR="00D84C8E" w:rsidRDefault="00652612">
            <w:pPr>
              <w:spacing w:after="0"/>
              <w:ind w:left="99" w:right="0" w:firstLine="0"/>
            </w:pPr>
            <w:r>
              <w:t>B 7</w:t>
            </w:r>
          </w:p>
        </w:tc>
        <w:tc>
          <w:tcPr>
            <w:tcW w:w="1248" w:type="dxa"/>
            <w:tcBorders>
              <w:top w:val="single" w:sz="2" w:space="0" w:color="005CA9"/>
              <w:left w:val="nil"/>
              <w:bottom w:val="single" w:sz="2" w:space="0" w:color="005CA9"/>
              <w:right w:val="nil"/>
            </w:tcBorders>
          </w:tcPr>
          <w:p w14:paraId="352F70B7" w14:textId="77777777" w:rsidR="00D84C8E" w:rsidRDefault="00652612">
            <w:pPr>
              <w:spacing w:after="0"/>
              <w:ind w:left="0" w:right="55" w:firstLine="0"/>
              <w:jc w:val="right"/>
            </w:pPr>
            <w:r>
              <w:t>65 %</w:t>
            </w:r>
          </w:p>
        </w:tc>
      </w:tr>
      <w:tr w:rsidR="00D84C8E" w14:paraId="69608B2D" w14:textId="77777777">
        <w:trPr>
          <w:trHeight w:val="316"/>
        </w:trPr>
        <w:tc>
          <w:tcPr>
            <w:tcW w:w="7407" w:type="dxa"/>
            <w:tcBorders>
              <w:top w:val="single" w:sz="2" w:space="0" w:color="005CA9"/>
              <w:left w:val="nil"/>
              <w:bottom w:val="single" w:sz="2" w:space="0" w:color="005CA9"/>
              <w:right w:val="nil"/>
            </w:tcBorders>
          </w:tcPr>
          <w:p w14:paraId="4C71E96D" w14:textId="77777777" w:rsidR="00D84C8E" w:rsidRDefault="00652612">
            <w:pPr>
              <w:spacing w:after="0"/>
              <w:ind w:left="85" w:right="0" w:firstLine="0"/>
            </w:pPr>
            <w:r>
              <w:t>72 až 83</w:t>
            </w:r>
          </w:p>
        </w:tc>
        <w:tc>
          <w:tcPr>
            <w:tcW w:w="1380" w:type="dxa"/>
            <w:tcBorders>
              <w:top w:val="single" w:sz="2" w:space="0" w:color="005CA9"/>
              <w:left w:val="nil"/>
              <w:bottom w:val="single" w:sz="2" w:space="0" w:color="005CA9"/>
              <w:right w:val="nil"/>
            </w:tcBorders>
          </w:tcPr>
          <w:p w14:paraId="4914C7D9" w14:textId="77777777" w:rsidR="00D84C8E" w:rsidRDefault="00652612">
            <w:pPr>
              <w:spacing w:after="0"/>
              <w:ind w:left="99" w:right="0" w:firstLine="0"/>
            </w:pPr>
            <w:r>
              <w:t>B 6</w:t>
            </w:r>
          </w:p>
        </w:tc>
        <w:tc>
          <w:tcPr>
            <w:tcW w:w="1248" w:type="dxa"/>
            <w:tcBorders>
              <w:top w:val="single" w:sz="2" w:space="0" w:color="005CA9"/>
              <w:left w:val="nil"/>
              <w:bottom w:val="single" w:sz="2" w:space="0" w:color="005CA9"/>
              <w:right w:val="nil"/>
            </w:tcBorders>
          </w:tcPr>
          <w:p w14:paraId="3D43B416" w14:textId="77777777" w:rsidR="00D84C8E" w:rsidRDefault="00652612">
            <w:pPr>
              <w:spacing w:after="0"/>
              <w:ind w:left="0" w:right="55" w:firstLine="0"/>
              <w:jc w:val="right"/>
            </w:pPr>
            <w:r>
              <w:t>70 %</w:t>
            </w:r>
          </w:p>
        </w:tc>
      </w:tr>
      <w:tr w:rsidR="00D84C8E" w14:paraId="1408AD3D" w14:textId="77777777">
        <w:trPr>
          <w:trHeight w:val="316"/>
        </w:trPr>
        <w:tc>
          <w:tcPr>
            <w:tcW w:w="7407" w:type="dxa"/>
            <w:tcBorders>
              <w:top w:val="single" w:sz="2" w:space="0" w:color="005CA9"/>
              <w:left w:val="nil"/>
              <w:bottom w:val="single" w:sz="2" w:space="0" w:color="005CA9"/>
              <w:right w:val="nil"/>
            </w:tcBorders>
          </w:tcPr>
          <w:p w14:paraId="37C83FB9" w14:textId="77777777" w:rsidR="00D84C8E" w:rsidRDefault="00652612">
            <w:pPr>
              <w:spacing w:after="0"/>
              <w:ind w:left="85" w:right="0" w:firstLine="0"/>
            </w:pPr>
            <w:r>
              <w:t>60 až 71</w:t>
            </w:r>
          </w:p>
        </w:tc>
        <w:tc>
          <w:tcPr>
            <w:tcW w:w="1380" w:type="dxa"/>
            <w:tcBorders>
              <w:top w:val="single" w:sz="2" w:space="0" w:color="005CA9"/>
              <w:left w:val="nil"/>
              <w:bottom w:val="single" w:sz="2" w:space="0" w:color="005CA9"/>
              <w:right w:val="nil"/>
            </w:tcBorders>
          </w:tcPr>
          <w:p w14:paraId="18417826" w14:textId="77777777" w:rsidR="00D84C8E" w:rsidRDefault="00652612">
            <w:pPr>
              <w:spacing w:after="0"/>
              <w:ind w:left="99" w:right="0" w:firstLine="0"/>
            </w:pPr>
            <w:r>
              <w:t>B 5</w:t>
            </w:r>
          </w:p>
        </w:tc>
        <w:tc>
          <w:tcPr>
            <w:tcW w:w="1248" w:type="dxa"/>
            <w:tcBorders>
              <w:top w:val="single" w:sz="2" w:space="0" w:color="005CA9"/>
              <w:left w:val="nil"/>
              <w:bottom w:val="single" w:sz="2" w:space="0" w:color="005CA9"/>
              <w:right w:val="nil"/>
            </w:tcBorders>
          </w:tcPr>
          <w:p w14:paraId="22AAF86A" w14:textId="77777777" w:rsidR="00D84C8E" w:rsidRDefault="00652612">
            <w:pPr>
              <w:spacing w:after="0"/>
              <w:ind w:left="0" w:right="55" w:firstLine="0"/>
              <w:jc w:val="right"/>
            </w:pPr>
            <w:r>
              <w:t>75 %</w:t>
            </w:r>
          </w:p>
        </w:tc>
      </w:tr>
      <w:tr w:rsidR="00D84C8E" w14:paraId="14A253BF" w14:textId="77777777">
        <w:trPr>
          <w:trHeight w:val="316"/>
        </w:trPr>
        <w:tc>
          <w:tcPr>
            <w:tcW w:w="7407" w:type="dxa"/>
            <w:tcBorders>
              <w:top w:val="single" w:sz="2" w:space="0" w:color="005CA9"/>
              <w:left w:val="nil"/>
              <w:bottom w:val="single" w:sz="2" w:space="0" w:color="005CA9"/>
              <w:right w:val="nil"/>
            </w:tcBorders>
          </w:tcPr>
          <w:p w14:paraId="2BEAAF83" w14:textId="77777777" w:rsidR="00D84C8E" w:rsidRDefault="00652612">
            <w:pPr>
              <w:spacing w:after="0"/>
              <w:ind w:left="85" w:right="0" w:firstLine="0"/>
            </w:pPr>
            <w:r>
              <w:t>48 až 59</w:t>
            </w:r>
          </w:p>
        </w:tc>
        <w:tc>
          <w:tcPr>
            <w:tcW w:w="1380" w:type="dxa"/>
            <w:tcBorders>
              <w:top w:val="single" w:sz="2" w:space="0" w:color="005CA9"/>
              <w:left w:val="nil"/>
              <w:bottom w:val="single" w:sz="2" w:space="0" w:color="005CA9"/>
              <w:right w:val="nil"/>
            </w:tcBorders>
          </w:tcPr>
          <w:p w14:paraId="655C10D3" w14:textId="77777777" w:rsidR="00D84C8E" w:rsidRDefault="00652612">
            <w:pPr>
              <w:spacing w:after="0"/>
              <w:ind w:left="99" w:right="0" w:firstLine="0"/>
            </w:pPr>
            <w:r>
              <w:t>B 4</w:t>
            </w:r>
          </w:p>
        </w:tc>
        <w:tc>
          <w:tcPr>
            <w:tcW w:w="1248" w:type="dxa"/>
            <w:tcBorders>
              <w:top w:val="single" w:sz="2" w:space="0" w:color="005CA9"/>
              <w:left w:val="nil"/>
              <w:bottom w:val="single" w:sz="2" w:space="0" w:color="005CA9"/>
              <w:right w:val="nil"/>
            </w:tcBorders>
          </w:tcPr>
          <w:p w14:paraId="17FE5F7F" w14:textId="77777777" w:rsidR="00D84C8E" w:rsidRDefault="00652612">
            <w:pPr>
              <w:spacing w:after="0"/>
              <w:ind w:left="0" w:right="55" w:firstLine="0"/>
              <w:jc w:val="right"/>
            </w:pPr>
            <w:r>
              <w:t>80 %</w:t>
            </w:r>
          </w:p>
        </w:tc>
      </w:tr>
      <w:tr w:rsidR="00D84C8E" w14:paraId="6747D5EE" w14:textId="77777777">
        <w:trPr>
          <w:trHeight w:val="316"/>
        </w:trPr>
        <w:tc>
          <w:tcPr>
            <w:tcW w:w="7407" w:type="dxa"/>
            <w:tcBorders>
              <w:top w:val="single" w:sz="2" w:space="0" w:color="005CA9"/>
              <w:left w:val="nil"/>
              <w:bottom w:val="single" w:sz="2" w:space="0" w:color="005CA9"/>
              <w:right w:val="nil"/>
            </w:tcBorders>
          </w:tcPr>
          <w:p w14:paraId="32737A3D" w14:textId="77777777" w:rsidR="00D84C8E" w:rsidRDefault="00652612">
            <w:pPr>
              <w:spacing w:after="0"/>
              <w:ind w:left="85" w:right="0" w:firstLine="0"/>
            </w:pPr>
            <w:r>
              <w:t>36 až 47</w:t>
            </w:r>
          </w:p>
        </w:tc>
        <w:tc>
          <w:tcPr>
            <w:tcW w:w="1380" w:type="dxa"/>
            <w:tcBorders>
              <w:top w:val="single" w:sz="2" w:space="0" w:color="005CA9"/>
              <w:left w:val="nil"/>
              <w:bottom w:val="single" w:sz="2" w:space="0" w:color="005CA9"/>
              <w:right w:val="nil"/>
            </w:tcBorders>
          </w:tcPr>
          <w:p w14:paraId="13254450" w14:textId="77777777" w:rsidR="00D84C8E" w:rsidRDefault="00652612">
            <w:pPr>
              <w:spacing w:after="0"/>
              <w:ind w:left="99" w:right="0" w:firstLine="0"/>
            </w:pPr>
            <w:r>
              <w:t>B 3</w:t>
            </w:r>
          </w:p>
        </w:tc>
        <w:tc>
          <w:tcPr>
            <w:tcW w:w="1248" w:type="dxa"/>
            <w:tcBorders>
              <w:top w:val="single" w:sz="2" w:space="0" w:color="005CA9"/>
              <w:left w:val="nil"/>
              <w:bottom w:val="single" w:sz="2" w:space="0" w:color="005CA9"/>
              <w:right w:val="nil"/>
            </w:tcBorders>
          </w:tcPr>
          <w:p w14:paraId="17BA75D9" w14:textId="77777777" w:rsidR="00D84C8E" w:rsidRDefault="00652612">
            <w:pPr>
              <w:spacing w:after="0"/>
              <w:ind w:left="0" w:right="55" w:firstLine="0"/>
              <w:jc w:val="right"/>
            </w:pPr>
            <w:r>
              <w:t>85 %</w:t>
            </w:r>
          </w:p>
        </w:tc>
      </w:tr>
      <w:tr w:rsidR="00D84C8E" w14:paraId="6AD2C026" w14:textId="77777777">
        <w:trPr>
          <w:trHeight w:val="316"/>
        </w:trPr>
        <w:tc>
          <w:tcPr>
            <w:tcW w:w="7407" w:type="dxa"/>
            <w:tcBorders>
              <w:top w:val="single" w:sz="2" w:space="0" w:color="005CA9"/>
              <w:left w:val="nil"/>
              <w:bottom w:val="single" w:sz="2" w:space="0" w:color="005CA9"/>
              <w:right w:val="nil"/>
            </w:tcBorders>
          </w:tcPr>
          <w:p w14:paraId="49E6EBF8" w14:textId="77777777" w:rsidR="00D84C8E" w:rsidRDefault="00652612">
            <w:pPr>
              <w:spacing w:after="0"/>
              <w:ind w:left="85" w:right="0" w:firstLine="0"/>
            </w:pPr>
            <w:r>
              <w:t>24 až 35</w:t>
            </w:r>
          </w:p>
        </w:tc>
        <w:tc>
          <w:tcPr>
            <w:tcW w:w="1380" w:type="dxa"/>
            <w:tcBorders>
              <w:top w:val="single" w:sz="2" w:space="0" w:color="005CA9"/>
              <w:left w:val="nil"/>
              <w:bottom w:val="single" w:sz="2" w:space="0" w:color="005CA9"/>
              <w:right w:val="nil"/>
            </w:tcBorders>
          </w:tcPr>
          <w:p w14:paraId="3AF76123" w14:textId="77777777" w:rsidR="00D84C8E" w:rsidRDefault="00652612">
            <w:pPr>
              <w:spacing w:after="0"/>
              <w:ind w:left="99" w:right="0" w:firstLine="0"/>
            </w:pPr>
            <w:r>
              <w:t>B 2</w:t>
            </w:r>
          </w:p>
        </w:tc>
        <w:tc>
          <w:tcPr>
            <w:tcW w:w="1248" w:type="dxa"/>
            <w:tcBorders>
              <w:top w:val="single" w:sz="2" w:space="0" w:color="005CA9"/>
              <w:left w:val="nil"/>
              <w:bottom w:val="single" w:sz="2" w:space="0" w:color="005CA9"/>
              <w:right w:val="nil"/>
            </w:tcBorders>
          </w:tcPr>
          <w:p w14:paraId="3F563F9A" w14:textId="77777777" w:rsidR="00D84C8E" w:rsidRDefault="00652612">
            <w:pPr>
              <w:spacing w:after="0"/>
              <w:ind w:left="0" w:right="55" w:firstLine="0"/>
              <w:jc w:val="right"/>
            </w:pPr>
            <w:r>
              <w:t>90 %</w:t>
            </w:r>
          </w:p>
        </w:tc>
      </w:tr>
      <w:tr w:rsidR="00D84C8E" w14:paraId="3E96DE07" w14:textId="77777777">
        <w:trPr>
          <w:trHeight w:val="316"/>
        </w:trPr>
        <w:tc>
          <w:tcPr>
            <w:tcW w:w="7407" w:type="dxa"/>
            <w:tcBorders>
              <w:top w:val="single" w:sz="2" w:space="0" w:color="005CA9"/>
              <w:left w:val="nil"/>
              <w:bottom w:val="single" w:sz="2" w:space="0" w:color="005CA9"/>
              <w:right w:val="nil"/>
            </w:tcBorders>
          </w:tcPr>
          <w:p w14:paraId="32225D67" w14:textId="77777777" w:rsidR="00D84C8E" w:rsidRDefault="00652612">
            <w:pPr>
              <w:spacing w:after="0"/>
              <w:ind w:left="85" w:right="0" w:firstLine="0"/>
            </w:pPr>
            <w:r>
              <w:t>12 až 23</w:t>
            </w:r>
          </w:p>
        </w:tc>
        <w:tc>
          <w:tcPr>
            <w:tcW w:w="1380" w:type="dxa"/>
            <w:tcBorders>
              <w:top w:val="single" w:sz="2" w:space="0" w:color="005CA9"/>
              <w:left w:val="nil"/>
              <w:bottom w:val="single" w:sz="2" w:space="0" w:color="005CA9"/>
              <w:right w:val="nil"/>
            </w:tcBorders>
          </w:tcPr>
          <w:p w14:paraId="6B660BF6" w14:textId="77777777" w:rsidR="00D84C8E" w:rsidRDefault="00652612">
            <w:pPr>
              <w:spacing w:after="0"/>
              <w:ind w:left="99" w:right="0" w:firstLine="0"/>
            </w:pPr>
            <w:r>
              <w:t>B 1</w:t>
            </w:r>
          </w:p>
        </w:tc>
        <w:tc>
          <w:tcPr>
            <w:tcW w:w="1248" w:type="dxa"/>
            <w:tcBorders>
              <w:top w:val="single" w:sz="2" w:space="0" w:color="005CA9"/>
              <w:left w:val="nil"/>
              <w:bottom w:val="single" w:sz="2" w:space="0" w:color="005CA9"/>
              <w:right w:val="nil"/>
            </w:tcBorders>
          </w:tcPr>
          <w:p w14:paraId="44E5CA83" w14:textId="77777777" w:rsidR="00D84C8E" w:rsidRDefault="00652612">
            <w:pPr>
              <w:spacing w:after="0"/>
              <w:ind w:left="0" w:right="55" w:firstLine="0"/>
              <w:jc w:val="right"/>
            </w:pPr>
            <w:r>
              <w:t>95 %</w:t>
            </w:r>
          </w:p>
        </w:tc>
      </w:tr>
      <w:tr w:rsidR="00D84C8E" w14:paraId="565D1274" w14:textId="77777777">
        <w:trPr>
          <w:trHeight w:val="316"/>
        </w:trPr>
        <w:tc>
          <w:tcPr>
            <w:tcW w:w="7407" w:type="dxa"/>
            <w:tcBorders>
              <w:top w:val="single" w:sz="2" w:space="0" w:color="005CA9"/>
              <w:left w:val="nil"/>
              <w:bottom w:val="single" w:sz="2" w:space="0" w:color="005CA9"/>
              <w:right w:val="nil"/>
            </w:tcBorders>
          </w:tcPr>
          <w:p w14:paraId="3CD09599" w14:textId="77777777" w:rsidR="00D84C8E" w:rsidRDefault="00652612">
            <w:pPr>
              <w:spacing w:after="0"/>
              <w:ind w:left="85" w:right="0" w:firstLine="0"/>
            </w:pPr>
            <w:r>
              <w:t>0 až 11</w:t>
            </w:r>
          </w:p>
        </w:tc>
        <w:tc>
          <w:tcPr>
            <w:tcW w:w="1380" w:type="dxa"/>
            <w:tcBorders>
              <w:top w:val="single" w:sz="2" w:space="0" w:color="005CA9"/>
              <w:left w:val="nil"/>
              <w:bottom w:val="single" w:sz="2" w:space="0" w:color="005CA9"/>
              <w:right w:val="nil"/>
            </w:tcBorders>
          </w:tcPr>
          <w:p w14:paraId="2907ED5E" w14:textId="77777777" w:rsidR="00D84C8E" w:rsidRDefault="00652612">
            <w:pPr>
              <w:spacing w:after="0"/>
              <w:ind w:left="186" w:right="0" w:firstLine="0"/>
            </w:pPr>
            <w:r>
              <w:t>Z</w:t>
            </w:r>
          </w:p>
        </w:tc>
        <w:tc>
          <w:tcPr>
            <w:tcW w:w="1248" w:type="dxa"/>
            <w:tcBorders>
              <w:top w:val="single" w:sz="2" w:space="0" w:color="005CA9"/>
              <w:left w:val="nil"/>
              <w:bottom w:val="single" w:sz="2" w:space="0" w:color="005CA9"/>
              <w:right w:val="nil"/>
            </w:tcBorders>
          </w:tcPr>
          <w:p w14:paraId="302A005F" w14:textId="77777777" w:rsidR="00D84C8E" w:rsidRDefault="00652612">
            <w:pPr>
              <w:spacing w:after="0"/>
              <w:ind w:left="0" w:right="55" w:firstLine="0"/>
              <w:jc w:val="right"/>
            </w:pPr>
            <w:r>
              <w:t>100 %</w:t>
            </w:r>
          </w:p>
        </w:tc>
      </w:tr>
      <w:tr w:rsidR="00D84C8E" w14:paraId="25E604FD" w14:textId="77777777">
        <w:trPr>
          <w:trHeight w:val="316"/>
        </w:trPr>
        <w:tc>
          <w:tcPr>
            <w:tcW w:w="7407" w:type="dxa"/>
            <w:tcBorders>
              <w:top w:val="single" w:sz="2" w:space="0" w:color="005CA9"/>
              <w:left w:val="nil"/>
              <w:bottom w:val="single" w:sz="2" w:space="0" w:color="005CA9"/>
              <w:right w:val="nil"/>
            </w:tcBorders>
          </w:tcPr>
          <w:p w14:paraId="4B99D317" w14:textId="77777777" w:rsidR="00D84C8E" w:rsidRDefault="00652612">
            <w:pPr>
              <w:spacing w:after="0"/>
              <w:ind w:left="85" w:right="0" w:firstLine="0"/>
            </w:pPr>
            <w:r>
              <w:t>-12 až -1 měsíc</w:t>
            </w:r>
          </w:p>
        </w:tc>
        <w:tc>
          <w:tcPr>
            <w:tcW w:w="1380" w:type="dxa"/>
            <w:tcBorders>
              <w:top w:val="single" w:sz="2" w:space="0" w:color="005CA9"/>
              <w:left w:val="nil"/>
              <w:bottom w:val="single" w:sz="2" w:space="0" w:color="005CA9"/>
              <w:right w:val="nil"/>
            </w:tcBorders>
          </w:tcPr>
          <w:p w14:paraId="67440939" w14:textId="77777777" w:rsidR="00D84C8E" w:rsidRDefault="00652612">
            <w:pPr>
              <w:spacing w:after="0"/>
              <w:ind w:left="82" w:right="0" w:firstLine="0"/>
            </w:pPr>
            <w:r>
              <w:t>M 1</w:t>
            </w:r>
          </w:p>
        </w:tc>
        <w:tc>
          <w:tcPr>
            <w:tcW w:w="1248" w:type="dxa"/>
            <w:tcBorders>
              <w:top w:val="single" w:sz="2" w:space="0" w:color="005CA9"/>
              <w:left w:val="nil"/>
              <w:bottom w:val="single" w:sz="2" w:space="0" w:color="005CA9"/>
              <w:right w:val="nil"/>
            </w:tcBorders>
          </w:tcPr>
          <w:p w14:paraId="3822B0D1" w14:textId="77777777" w:rsidR="00D84C8E" w:rsidRDefault="00652612">
            <w:pPr>
              <w:spacing w:after="0"/>
              <w:ind w:left="0" w:right="55" w:firstLine="0"/>
              <w:jc w:val="right"/>
            </w:pPr>
            <w:r>
              <w:t>110 %</w:t>
            </w:r>
          </w:p>
        </w:tc>
      </w:tr>
      <w:tr w:rsidR="00D84C8E" w14:paraId="01DD158B" w14:textId="77777777">
        <w:trPr>
          <w:trHeight w:val="316"/>
        </w:trPr>
        <w:tc>
          <w:tcPr>
            <w:tcW w:w="7407" w:type="dxa"/>
            <w:tcBorders>
              <w:top w:val="single" w:sz="2" w:space="0" w:color="005CA9"/>
              <w:left w:val="nil"/>
              <w:bottom w:val="single" w:sz="2" w:space="0" w:color="005CA9"/>
              <w:right w:val="nil"/>
            </w:tcBorders>
          </w:tcPr>
          <w:p w14:paraId="045A2732" w14:textId="77777777" w:rsidR="00D84C8E" w:rsidRDefault="00652612">
            <w:pPr>
              <w:spacing w:after="0"/>
              <w:ind w:left="85" w:right="0" w:firstLine="0"/>
            </w:pPr>
            <w:r>
              <w:t>-24 až -13 měsíců</w:t>
            </w:r>
          </w:p>
        </w:tc>
        <w:tc>
          <w:tcPr>
            <w:tcW w:w="1380" w:type="dxa"/>
            <w:tcBorders>
              <w:top w:val="single" w:sz="2" w:space="0" w:color="005CA9"/>
              <w:left w:val="nil"/>
              <w:bottom w:val="single" w:sz="2" w:space="0" w:color="005CA9"/>
              <w:right w:val="nil"/>
            </w:tcBorders>
          </w:tcPr>
          <w:p w14:paraId="119E4F02" w14:textId="77777777" w:rsidR="00D84C8E" w:rsidRDefault="00652612">
            <w:pPr>
              <w:spacing w:after="0"/>
              <w:ind w:left="82" w:right="0" w:firstLine="0"/>
            </w:pPr>
            <w:r>
              <w:t>M 2</w:t>
            </w:r>
          </w:p>
        </w:tc>
        <w:tc>
          <w:tcPr>
            <w:tcW w:w="1248" w:type="dxa"/>
            <w:tcBorders>
              <w:top w:val="single" w:sz="2" w:space="0" w:color="005CA9"/>
              <w:left w:val="nil"/>
              <w:bottom w:val="single" w:sz="2" w:space="0" w:color="005CA9"/>
              <w:right w:val="nil"/>
            </w:tcBorders>
          </w:tcPr>
          <w:p w14:paraId="0149A8CB" w14:textId="77777777" w:rsidR="00D84C8E" w:rsidRDefault="00652612">
            <w:pPr>
              <w:spacing w:after="0"/>
              <w:ind w:left="0" w:right="55" w:firstLine="0"/>
              <w:jc w:val="right"/>
            </w:pPr>
            <w:r>
              <w:t>120 %</w:t>
            </w:r>
          </w:p>
        </w:tc>
      </w:tr>
      <w:tr w:rsidR="00D84C8E" w14:paraId="7BC8BE1B" w14:textId="77777777">
        <w:trPr>
          <w:trHeight w:val="316"/>
        </w:trPr>
        <w:tc>
          <w:tcPr>
            <w:tcW w:w="7407" w:type="dxa"/>
            <w:tcBorders>
              <w:top w:val="single" w:sz="2" w:space="0" w:color="005CA9"/>
              <w:left w:val="nil"/>
              <w:bottom w:val="single" w:sz="2" w:space="0" w:color="005CA9"/>
              <w:right w:val="nil"/>
            </w:tcBorders>
          </w:tcPr>
          <w:p w14:paraId="199025E7" w14:textId="77777777" w:rsidR="00D84C8E" w:rsidRDefault="00652612">
            <w:pPr>
              <w:spacing w:after="0"/>
              <w:ind w:left="85" w:right="0" w:firstLine="0"/>
            </w:pPr>
            <w:r>
              <w:t>-36 až -25 měsíců</w:t>
            </w:r>
          </w:p>
        </w:tc>
        <w:tc>
          <w:tcPr>
            <w:tcW w:w="1380" w:type="dxa"/>
            <w:tcBorders>
              <w:top w:val="single" w:sz="2" w:space="0" w:color="005CA9"/>
              <w:left w:val="nil"/>
              <w:bottom w:val="single" w:sz="2" w:space="0" w:color="005CA9"/>
              <w:right w:val="nil"/>
            </w:tcBorders>
          </w:tcPr>
          <w:p w14:paraId="4A0ADAEE" w14:textId="77777777" w:rsidR="00D84C8E" w:rsidRDefault="00652612">
            <w:pPr>
              <w:spacing w:after="0"/>
              <w:ind w:left="82" w:right="0" w:firstLine="0"/>
            </w:pPr>
            <w:r>
              <w:t>M 3</w:t>
            </w:r>
          </w:p>
        </w:tc>
        <w:tc>
          <w:tcPr>
            <w:tcW w:w="1248" w:type="dxa"/>
            <w:tcBorders>
              <w:top w:val="single" w:sz="2" w:space="0" w:color="005CA9"/>
              <w:left w:val="nil"/>
              <w:bottom w:val="single" w:sz="2" w:space="0" w:color="005CA9"/>
              <w:right w:val="nil"/>
            </w:tcBorders>
          </w:tcPr>
          <w:p w14:paraId="1D7DBD02" w14:textId="77777777" w:rsidR="00D84C8E" w:rsidRDefault="00652612">
            <w:pPr>
              <w:spacing w:after="0"/>
              <w:ind w:left="0" w:right="55" w:firstLine="0"/>
              <w:jc w:val="right"/>
            </w:pPr>
            <w:r>
              <w:t>130 %</w:t>
            </w:r>
          </w:p>
        </w:tc>
      </w:tr>
      <w:tr w:rsidR="00D84C8E" w14:paraId="334B7FFE" w14:textId="77777777">
        <w:trPr>
          <w:trHeight w:val="316"/>
        </w:trPr>
        <w:tc>
          <w:tcPr>
            <w:tcW w:w="7407" w:type="dxa"/>
            <w:tcBorders>
              <w:top w:val="single" w:sz="2" w:space="0" w:color="005CA9"/>
              <w:left w:val="nil"/>
              <w:bottom w:val="single" w:sz="2" w:space="0" w:color="005CA9"/>
              <w:right w:val="nil"/>
            </w:tcBorders>
          </w:tcPr>
          <w:p w14:paraId="5F31FD7B" w14:textId="77777777" w:rsidR="00D84C8E" w:rsidRDefault="00652612">
            <w:pPr>
              <w:spacing w:after="0"/>
              <w:ind w:left="85" w:right="0" w:firstLine="0"/>
            </w:pPr>
            <w:r>
              <w:t>-48 až -37 měsíců</w:t>
            </w:r>
          </w:p>
        </w:tc>
        <w:tc>
          <w:tcPr>
            <w:tcW w:w="1380" w:type="dxa"/>
            <w:tcBorders>
              <w:top w:val="single" w:sz="2" w:space="0" w:color="005CA9"/>
              <w:left w:val="nil"/>
              <w:bottom w:val="single" w:sz="2" w:space="0" w:color="005CA9"/>
              <w:right w:val="nil"/>
            </w:tcBorders>
          </w:tcPr>
          <w:p w14:paraId="1BD63246" w14:textId="77777777" w:rsidR="00D84C8E" w:rsidRDefault="00652612">
            <w:pPr>
              <w:spacing w:after="0"/>
              <w:ind w:left="82" w:right="0" w:firstLine="0"/>
            </w:pPr>
            <w:r>
              <w:t>M 4</w:t>
            </w:r>
          </w:p>
        </w:tc>
        <w:tc>
          <w:tcPr>
            <w:tcW w:w="1248" w:type="dxa"/>
            <w:tcBorders>
              <w:top w:val="single" w:sz="2" w:space="0" w:color="005CA9"/>
              <w:left w:val="nil"/>
              <w:bottom w:val="single" w:sz="2" w:space="0" w:color="005CA9"/>
              <w:right w:val="nil"/>
            </w:tcBorders>
          </w:tcPr>
          <w:p w14:paraId="03537210" w14:textId="77777777" w:rsidR="00D84C8E" w:rsidRDefault="00652612">
            <w:pPr>
              <w:spacing w:after="0"/>
              <w:ind w:left="0" w:right="55" w:firstLine="0"/>
              <w:jc w:val="right"/>
            </w:pPr>
            <w:r>
              <w:t>140 %</w:t>
            </w:r>
          </w:p>
        </w:tc>
      </w:tr>
      <w:tr w:rsidR="00D84C8E" w14:paraId="7BD93C4E" w14:textId="77777777">
        <w:trPr>
          <w:trHeight w:val="316"/>
        </w:trPr>
        <w:tc>
          <w:tcPr>
            <w:tcW w:w="7407" w:type="dxa"/>
            <w:tcBorders>
              <w:top w:val="single" w:sz="2" w:space="0" w:color="005CA9"/>
              <w:left w:val="nil"/>
              <w:bottom w:val="single" w:sz="2" w:space="0" w:color="005CA9"/>
              <w:right w:val="nil"/>
            </w:tcBorders>
          </w:tcPr>
          <w:p w14:paraId="727A053F" w14:textId="77777777" w:rsidR="00D84C8E" w:rsidRDefault="00652612">
            <w:pPr>
              <w:spacing w:after="0"/>
              <w:ind w:left="85" w:right="0" w:firstLine="0"/>
            </w:pPr>
            <w:r>
              <w:t>-60 až -49 měsíců</w:t>
            </w:r>
          </w:p>
        </w:tc>
        <w:tc>
          <w:tcPr>
            <w:tcW w:w="1380" w:type="dxa"/>
            <w:tcBorders>
              <w:top w:val="single" w:sz="2" w:space="0" w:color="005CA9"/>
              <w:left w:val="nil"/>
              <w:bottom w:val="single" w:sz="2" w:space="0" w:color="005CA9"/>
              <w:right w:val="nil"/>
            </w:tcBorders>
          </w:tcPr>
          <w:p w14:paraId="4E2827CA" w14:textId="77777777" w:rsidR="00D84C8E" w:rsidRDefault="00652612">
            <w:pPr>
              <w:spacing w:after="0"/>
              <w:ind w:left="82" w:right="0" w:firstLine="0"/>
            </w:pPr>
            <w:r>
              <w:t>M 5</w:t>
            </w:r>
          </w:p>
        </w:tc>
        <w:tc>
          <w:tcPr>
            <w:tcW w:w="1248" w:type="dxa"/>
            <w:tcBorders>
              <w:top w:val="single" w:sz="2" w:space="0" w:color="005CA9"/>
              <w:left w:val="nil"/>
              <w:bottom w:val="single" w:sz="2" w:space="0" w:color="005CA9"/>
              <w:right w:val="nil"/>
            </w:tcBorders>
          </w:tcPr>
          <w:p w14:paraId="758B4B6B" w14:textId="77777777" w:rsidR="00D84C8E" w:rsidRDefault="00652612">
            <w:pPr>
              <w:spacing w:after="0"/>
              <w:ind w:left="0" w:right="55" w:firstLine="0"/>
              <w:jc w:val="right"/>
            </w:pPr>
            <w:r>
              <w:t>150 %</w:t>
            </w:r>
          </w:p>
        </w:tc>
      </w:tr>
      <w:tr w:rsidR="00D84C8E" w14:paraId="60D2C093" w14:textId="77777777">
        <w:trPr>
          <w:trHeight w:val="316"/>
        </w:trPr>
        <w:tc>
          <w:tcPr>
            <w:tcW w:w="7407" w:type="dxa"/>
            <w:tcBorders>
              <w:top w:val="single" w:sz="2" w:space="0" w:color="005CA9"/>
              <w:left w:val="nil"/>
              <w:bottom w:val="single" w:sz="2" w:space="0" w:color="005CA9"/>
              <w:right w:val="nil"/>
            </w:tcBorders>
          </w:tcPr>
          <w:p w14:paraId="57EB8707" w14:textId="77777777" w:rsidR="00D84C8E" w:rsidRDefault="00652612">
            <w:pPr>
              <w:spacing w:after="0"/>
              <w:ind w:left="85" w:right="0" w:firstLine="0"/>
            </w:pPr>
            <w:r>
              <w:t>-72 až -61 měsíců</w:t>
            </w:r>
          </w:p>
        </w:tc>
        <w:tc>
          <w:tcPr>
            <w:tcW w:w="1380" w:type="dxa"/>
            <w:tcBorders>
              <w:top w:val="single" w:sz="2" w:space="0" w:color="005CA9"/>
              <w:left w:val="nil"/>
              <w:bottom w:val="single" w:sz="2" w:space="0" w:color="005CA9"/>
              <w:right w:val="nil"/>
            </w:tcBorders>
          </w:tcPr>
          <w:p w14:paraId="01A7F9C7" w14:textId="77777777" w:rsidR="00D84C8E" w:rsidRDefault="00652612">
            <w:pPr>
              <w:spacing w:after="0"/>
              <w:ind w:left="82" w:right="0" w:firstLine="0"/>
            </w:pPr>
            <w:r>
              <w:t>M 6</w:t>
            </w:r>
          </w:p>
        </w:tc>
        <w:tc>
          <w:tcPr>
            <w:tcW w:w="1248" w:type="dxa"/>
            <w:tcBorders>
              <w:top w:val="single" w:sz="2" w:space="0" w:color="005CA9"/>
              <w:left w:val="nil"/>
              <w:bottom w:val="single" w:sz="2" w:space="0" w:color="005CA9"/>
              <w:right w:val="nil"/>
            </w:tcBorders>
          </w:tcPr>
          <w:p w14:paraId="2425FFCA" w14:textId="77777777" w:rsidR="00D84C8E" w:rsidRDefault="00652612">
            <w:pPr>
              <w:spacing w:after="0"/>
              <w:ind w:left="0" w:right="55" w:firstLine="0"/>
              <w:jc w:val="right"/>
            </w:pPr>
            <w:r>
              <w:t>160 %</w:t>
            </w:r>
          </w:p>
        </w:tc>
      </w:tr>
      <w:tr w:rsidR="00D84C8E" w14:paraId="25762E4C" w14:textId="77777777">
        <w:trPr>
          <w:trHeight w:val="316"/>
        </w:trPr>
        <w:tc>
          <w:tcPr>
            <w:tcW w:w="7407" w:type="dxa"/>
            <w:tcBorders>
              <w:top w:val="single" w:sz="2" w:space="0" w:color="005CA9"/>
              <w:left w:val="nil"/>
              <w:bottom w:val="single" w:sz="2" w:space="0" w:color="005CA9"/>
              <w:right w:val="nil"/>
            </w:tcBorders>
          </w:tcPr>
          <w:p w14:paraId="1032A4BB" w14:textId="77777777" w:rsidR="00D84C8E" w:rsidRDefault="00652612">
            <w:pPr>
              <w:spacing w:after="0"/>
              <w:ind w:left="85" w:right="0" w:firstLine="0"/>
            </w:pPr>
            <w:r>
              <w:t>-84 až -73 měsíců</w:t>
            </w:r>
          </w:p>
        </w:tc>
        <w:tc>
          <w:tcPr>
            <w:tcW w:w="1380" w:type="dxa"/>
            <w:tcBorders>
              <w:top w:val="single" w:sz="2" w:space="0" w:color="005CA9"/>
              <w:left w:val="nil"/>
              <w:bottom w:val="single" w:sz="2" w:space="0" w:color="005CA9"/>
              <w:right w:val="nil"/>
            </w:tcBorders>
          </w:tcPr>
          <w:p w14:paraId="01E64326" w14:textId="77777777" w:rsidR="00D84C8E" w:rsidRDefault="00652612">
            <w:pPr>
              <w:spacing w:after="0"/>
              <w:ind w:left="82" w:right="0" w:firstLine="0"/>
            </w:pPr>
            <w:r>
              <w:t>M 7</w:t>
            </w:r>
          </w:p>
        </w:tc>
        <w:tc>
          <w:tcPr>
            <w:tcW w:w="1248" w:type="dxa"/>
            <w:tcBorders>
              <w:top w:val="single" w:sz="2" w:space="0" w:color="005CA9"/>
              <w:left w:val="nil"/>
              <w:bottom w:val="single" w:sz="2" w:space="0" w:color="005CA9"/>
              <w:right w:val="nil"/>
            </w:tcBorders>
          </w:tcPr>
          <w:p w14:paraId="79AAB888" w14:textId="77777777" w:rsidR="00D84C8E" w:rsidRDefault="00652612">
            <w:pPr>
              <w:spacing w:after="0"/>
              <w:ind w:left="0" w:right="55" w:firstLine="0"/>
              <w:jc w:val="right"/>
            </w:pPr>
            <w:r>
              <w:t>170 %</w:t>
            </w:r>
          </w:p>
        </w:tc>
      </w:tr>
      <w:tr w:rsidR="00D84C8E" w14:paraId="777890CA" w14:textId="77777777">
        <w:trPr>
          <w:trHeight w:val="316"/>
        </w:trPr>
        <w:tc>
          <w:tcPr>
            <w:tcW w:w="7407" w:type="dxa"/>
            <w:tcBorders>
              <w:top w:val="single" w:sz="2" w:space="0" w:color="005CA9"/>
              <w:left w:val="nil"/>
              <w:bottom w:val="single" w:sz="2" w:space="0" w:color="005CA9"/>
              <w:right w:val="nil"/>
            </w:tcBorders>
          </w:tcPr>
          <w:p w14:paraId="41DAF1F3" w14:textId="77777777" w:rsidR="00D84C8E" w:rsidRDefault="00652612">
            <w:pPr>
              <w:spacing w:after="0"/>
              <w:ind w:left="85" w:right="0" w:firstLine="0"/>
            </w:pPr>
            <w:r>
              <w:lastRenderedPageBreak/>
              <w:t>-96 až -85 měsíců</w:t>
            </w:r>
          </w:p>
        </w:tc>
        <w:tc>
          <w:tcPr>
            <w:tcW w:w="1380" w:type="dxa"/>
            <w:tcBorders>
              <w:top w:val="single" w:sz="2" w:space="0" w:color="005CA9"/>
              <w:left w:val="nil"/>
              <w:bottom w:val="single" w:sz="2" w:space="0" w:color="005CA9"/>
              <w:right w:val="nil"/>
            </w:tcBorders>
          </w:tcPr>
          <w:p w14:paraId="0780D70A" w14:textId="77777777" w:rsidR="00D84C8E" w:rsidRDefault="00652612">
            <w:pPr>
              <w:spacing w:after="0"/>
              <w:ind w:left="82" w:right="0" w:firstLine="0"/>
            </w:pPr>
            <w:r>
              <w:t>M 8</w:t>
            </w:r>
          </w:p>
        </w:tc>
        <w:tc>
          <w:tcPr>
            <w:tcW w:w="1248" w:type="dxa"/>
            <w:tcBorders>
              <w:top w:val="single" w:sz="2" w:space="0" w:color="005CA9"/>
              <w:left w:val="nil"/>
              <w:bottom w:val="single" w:sz="2" w:space="0" w:color="005CA9"/>
              <w:right w:val="nil"/>
            </w:tcBorders>
          </w:tcPr>
          <w:p w14:paraId="74C6535A" w14:textId="77777777" w:rsidR="00D84C8E" w:rsidRDefault="00652612">
            <w:pPr>
              <w:spacing w:after="0"/>
              <w:ind w:left="0" w:right="55" w:firstLine="0"/>
              <w:jc w:val="right"/>
            </w:pPr>
            <w:r>
              <w:t>180 %</w:t>
            </w:r>
          </w:p>
        </w:tc>
      </w:tr>
      <w:tr w:rsidR="00D84C8E" w14:paraId="07938A46" w14:textId="77777777">
        <w:trPr>
          <w:trHeight w:val="316"/>
        </w:trPr>
        <w:tc>
          <w:tcPr>
            <w:tcW w:w="7407" w:type="dxa"/>
            <w:tcBorders>
              <w:top w:val="single" w:sz="2" w:space="0" w:color="005CA9"/>
              <w:left w:val="nil"/>
              <w:bottom w:val="single" w:sz="2" w:space="0" w:color="005CA9"/>
              <w:right w:val="nil"/>
            </w:tcBorders>
          </w:tcPr>
          <w:p w14:paraId="67578134" w14:textId="77777777" w:rsidR="00D84C8E" w:rsidRDefault="00652612">
            <w:pPr>
              <w:spacing w:after="0"/>
              <w:ind w:left="85" w:right="0" w:firstLine="0"/>
            </w:pPr>
            <w:r>
              <w:t>-108 až -97 měsíců</w:t>
            </w:r>
          </w:p>
        </w:tc>
        <w:tc>
          <w:tcPr>
            <w:tcW w:w="1380" w:type="dxa"/>
            <w:tcBorders>
              <w:top w:val="single" w:sz="2" w:space="0" w:color="005CA9"/>
              <w:left w:val="nil"/>
              <w:bottom w:val="single" w:sz="2" w:space="0" w:color="005CA9"/>
              <w:right w:val="nil"/>
            </w:tcBorders>
          </w:tcPr>
          <w:p w14:paraId="2304906B" w14:textId="77777777" w:rsidR="00D84C8E" w:rsidRDefault="00652612">
            <w:pPr>
              <w:spacing w:after="0"/>
              <w:ind w:left="82" w:right="0" w:firstLine="0"/>
            </w:pPr>
            <w:r>
              <w:t>M 9</w:t>
            </w:r>
          </w:p>
        </w:tc>
        <w:tc>
          <w:tcPr>
            <w:tcW w:w="1248" w:type="dxa"/>
            <w:tcBorders>
              <w:top w:val="single" w:sz="2" w:space="0" w:color="005CA9"/>
              <w:left w:val="nil"/>
              <w:bottom w:val="single" w:sz="2" w:space="0" w:color="005CA9"/>
              <w:right w:val="nil"/>
            </w:tcBorders>
          </w:tcPr>
          <w:p w14:paraId="01251B43" w14:textId="77777777" w:rsidR="00D84C8E" w:rsidRDefault="00652612">
            <w:pPr>
              <w:spacing w:after="0"/>
              <w:ind w:left="0" w:right="55" w:firstLine="0"/>
              <w:jc w:val="right"/>
            </w:pPr>
            <w:r>
              <w:t>190 %</w:t>
            </w:r>
          </w:p>
        </w:tc>
      </w:tr>
      <w:tr w:rsidR="00D84C8E" w14:paraId="05EFAFF0" w14:textId="77777777">
        <w:trPr>
          <w:trHeight w:val="316"/>
        </w:trPr>
        <w:tc>
          <w:tcPr>
            <w:tcW w:w="7407" w:type="dxa"/>
            <w:tcBorders>
              <w:top w:val="single" w:sz="2" w:space="0" w:color="005CA9"/>
              <w:left w:val="nil"/>
              <w:bottom w:val="single" w:sz="5" w:space="0" w:color="005CA9"/>
              <w:right w:val="nil"/>
            </w:tcBorders>
          </w:tcPr>
          <w:p w14:paraId="422C43FF" w14:textId="77777777" w:rsidR="00D84C8E" w:rsidRDefault="00652612">
            <w:pPr>
              <w:spacing w:after="0"/>
              <w:ind w:left="85" w:right="0" w:firstLine="0"/>
            </w:pPr>
            <w:r>
              <w:t>-109 a více měsíců</w:t>
            </w:r>
          </w:p>
        </w:tc>
        <w:tc>
          <w:tcPr>
            <w:tcW w:w="1380" w:type="dxa"/>
            <w:tcBorders>
              <w:top w:val="single" w:sz="2" w:space="0" w:color="005CA9"/>
              <w:left w:val="nil"/>
              <w:bottom w:val="single" w:sz="5" w:space="0" w:color="005CA9"/>
              <w:right w:val="nil"/>
            </w:tcBorders>
          </w:tcPr>
          <w:p w14:paraId="37396531" w14:textId="77777777" w:rsidR="00D84C8E" w:rsidRDefault="00652612">
            <w:pPr>
              <w:spacing w:after="0"/>
              <w:ind w:left="61" w:right="0" w:firstLine="0"/>
            </w:pPr>
            <w:r>
              <w:t>M10</w:t>
            </w:r>
          </w:p>
        </w:tc>
        <w:tc>
          <w:tcPr>
            <w:tcW w:w="1248" w:type="dxa"/>
            <w:tcBorders>
              <w:top w:val="single" w:sz="2" w:space="0" w:color="005CA9"/>
              <w:left w:val="nil"/>
              <w:bottom w:val="single" w:sz="5" w:space="0" w:color="005CA9"/>
              <w:right w:val="nil"/>
            </w:tcBorders>
          </w:tcPr>
          <w:p w14:paraId="2FEBD8FA" w14:textId="77777777" w:rsidR="00D84C8E" w:rsidRDefault="00652612">
            <w:pPr>
              <w:spacing w:after="0"/>
              <w:ind w:left="0" w:right="55" w:firstLine="0"/>
              <w:jc w:val="right"/>
            </w:pPr>
            <w:r>
              <w:t>200 %</w:t>
            </w:r>
          </w:p>
        </w:tc>
      </w:tr>
    </w:tbl>
    <w:p w14:paraId="573D37BE" w14:textId="77777777" w:rsidR="00D84C8E" w:rsidRDefault="00652612">
      <w:pPr>
        <w:numPr>
          <w:ilvl w:val="0"/>
          <w:numId w:val="3"/>
        </w:numPr>
        <w:ind w:right="4" w:hanging="340"/>
      </w:pPr>
      <w:r>
        <w:t xml:space="preserve">Ke změně třídy Bonusu-Malusu (úpravě pojistného) dochází vždy jedenkrát ročně ke dni a měsíci shodnému s počátkem pojištění. Rozhodná doba pro započítání škodního průběhu </w:t>
      </w:r>
      <w:proofErr w:type="gramStart"/>
      <w:r>
        <w:t>končí</w:t>
      </w:r>
      <w:proofErr w:type="gramEnd"/>
      <w:r>
        <w:t xml:space="preserve"> 3 měsíce před datem uvedené úpravy pojistného. Škody vzniklé po této době se započítají až v další úpravě (za jeden rok).</w:t>
      </w:r>
    </w:p>
    <w:p w14:paraId="62905EA5" w14:textId="77777777" w:rsidR="00D84C8E" w:rsidRDefault="00652612">
      <w:pPr>
        <w:numPr>
          <w:ilvl w:val="0"/>
          <w:numId w:val="3"/>
        </w:numPr>
        <w:ind w:right="4" w:hanging="340"/>
      </w:pPr>
      <w:r>
        <w:t>Bezeškodní dobu lze zvýšit pouze za dobu celých měsíců, po kterou nedošlo k pojistné události z POV. Vozidlo bude zařazeno v následujícím pojistném období o 1 třídu výše a bude placeno nižší pojistné.</w:t>
      </w:r>
    </w:p>
    <w:p w14:paraId="578BCBFD" w14:textId="77777777" w:rsidR="00D84C8E" w:rsidRDefault="00652612">
      <w:pPr>
        <w:numPr>
          <w:ilvl w:val="0"/>
          <w:numId w:val="3"/>
        </w:numPr>
        <w:ind w:right="4" w:hanging="340"/>
      </w:pPr>
      <w:r>
        <w:t>Za každou pojistnou událost z POV se bezeškodní doba snižuje o 3 třídy a bude placeno vyšší pojistné.</w:t>
      </w:r>
    </w:p>
    <w:p w14:paraId="291D7FE7" w14:textId="77777777" w:rsidR="00D84C8E" w:rsidRDefault="00652612">
      <w:pPr>
        <w:numPr>
          <w:ilvl w:val="0"/>
          <w:numId w:val="3"/>
        </w:numPr>
        <w:ind w:right="4" w:hanging="340"/>
      </w:pPr>
      <w:r>
        <w:t>Pojistná plnění se nezohledňují, jestliže byla pojistníkem nahrazena do 6 týdnů poté, co se o výplatě pojistného plnění nebo o vytvoření rezervy a jejích okolnostech pojistník dozvěděl.</w:t>
      </w:r>
    </w:p>
    <w:p w14:paraId="6BC09655" w14:textId="77777777" w:rsidR="00D84C8E" w:rsidRDefault="00652612">
      <w:pPr>
        <w:numPr>
          <w:ilvl w:val="0"/>
          <w:numId w:val="3"/>
        </w:numPr>
        <w:ind w:right="4" w:hanging="340"/>
      </w:pPr>
      <w:r>
        <w:t>Pojistitel při zohlednění škodného průběhu nepřihlíží k:</w:t>
      </w:r>
    </w:p>
    <w:p w14:paraId="56543DC7" w14:textId="77777777" w:rsidR="00D84C8E" w:rsidRDefault="00652612">
      <w:pPr>
        <w:numPr>
          <w:ilvl w:val="1"/>
          <w:numId w:val="3"/>
        </w:numPr>
        <w:ind w:right="4" w:hanging="340"/>
      </w:pPr>
      <w:r>
        <w:t>době přerušení POV a</w:t>
      </w:r>
    </w:p>
    <w:p w14:paraId="78D2E1B8" w14:textId="77777777" w:rsidR="00D84C8E" w:rsidRDefault="00652612">
      <w:pPr>
        <w:numPr>
          <w:ilvl w:val="1"/>
          <w:numId w:val="3"/>
        </w:numPr>
        <w:ind w:right="4" w:hanging="340"/>
      </w:pPr>
      <w:r>
        <w:t>plnění v případě pojistné události, vznikla-li povinnost nahradit újmu tomu, kdo</w:t>
      </w:r>
    </w:p>
    <w:p w14:paraId="4D2A354C" w14:textId="77777777" w:rsidR="00D84C8E" w:rsidRDefault="00652612">
      <w:pPr>
        <w:numPr>
          <w:ilvl w:val="2"/>
          <w:numId w:val="3"/>
        </w:numPr>
        <w:ind w:left="963" w:right="4" w:hanging="283"/>
      </w:pPr>
      <w:r>
        <w:t>převzal vozidlo do opravy, nebo</w:t>
      </w:r>
    </w:p>
    <w:p w14:paraId="674B7C59" w14:textId="77777777" w:rsidR="00D84C8E" w:rsidRDefault="00652612">
      <w:pPr>
        <w:numPr>
          <w:ilvl w:val="2"/>
          <w:numId w:val="3"/>
        </w:numPr>
        <w:ind w:left="963" w:right="4" w:hanging="283"/>
      </w:pPr>
      <w:r>
        <w:t>užil vozidlo bez vědomí nebo proti vůli provozovatele vozidla; to neplatí, jestliže provozovatel vozidla takové užití vozidla umožnil z nedbalosti.</w:t>
      </w:r>
    </w:p>
    <w:p w14:paraId="55EE5712" w14:textId="77777777" w:rsidR="00D84C8E" w:rsidRDefault="00652612">
      <w:pPr>
        <w:numPr>
          <w:ilvl w:val="0"/>
          <w:numId w:val="3"/>
        </w:numPr>
        <w:ind w:right="4" w:hanging="340"/>
      </w:pPr>
      <w:r>
        <w:t xml:space="preserve">Je-li v pojistné smlouvě uvedena „Tolerance první škody“ znamená to, že první pojistná událost nemá vliv na výši procenta Bonusu evidovaného v pojistné smlouvě a nebude z tohoto důvodu navýšeno pojistné. Neuplatnění systému Bonus-Malus však nemá vliv na </w:t>
      </w:r>
      <w:proofErr w:type="spellStart"/>
      <w:r>
        <w:t>přestupňování</w:t>
      </w:r>
      <w:proofErr w:type="spellEnd"/>
      <w:r>
        <w:t xml:space="preserve"> v Evidenci pojistně škodného průběhu, vedené Českou kanceláří pojistitelů a nelze ho uplatnit v potvrzení o době trvání pojištění a o škodném průběhu, vydaného při ukončení pojištění.</w:t>
      </w:r>
    </w:p>
    <w:p w14:paraId="338F273B" w14:textId="77777777" w:rsidR="00D84C8E" w:rsidRDefault="00652612">
      <w:pPr>
        <w:numPr>
          <w:ilvl w:val="0"/>
          <w:numId w:val="3"/>
        </w:numPr>
        <w:ind w:right="4" w:hanging="340"/>
      </w:pPr>
      <w:r>
        <w:t>Po zániku pojištění lze bezeškodní dobu převést na stejný druh pojištění (POV-POV), vztahující se pouze k jednomu vozidlu téhož pojistníka. Ustanovení předchozí věty lze uplatnit i na leasingového nájemce, který měl pronajato vozidlo pojištěné leasingovou společností za předpokladu, že vozidlo uvedené v leasingové smlouvě přechází do jeho vlastnictví a že bývalý nájemce do jednoho roku od konce leasingu uzavře novou pojistnou smlouvu.</w:t>
      </w:r>
    </w:p>
    <w:p w14:paraId="15E0C62C" w14:textId="77777777" w:rsidR="00D84C8E" w:rsidRDefault="00652612">
      <w:pPr>
        <w:numPr>
          <w:ilvl w:val="0"/>
          <w:numId w:val="3"/>
        </w:numPr>
        <w:ind w:right="4" w:hanging="340"/>
      </w:pPr>
      <w:r>
        <w:t>Pojistná událost uplatněná z POV nemá vliv na bezeškodní dobu v KASKO a naopak.</w:t>
      </w:r>
    </w:p>
    <w:p w14:paraId="6B1F4140" w14:textId="77777777" w:rsidR="00D84C8E" w:rsidRDefault="00652612">
      <w:pPr>
        <w:numPr>
          <w:ilvl w:val="0"/>
          <w:numId w:val="3"/>
        </w:numPr>
        <w:ind w:right="4" w:hanging="340"/>
      </w:pPr>
      <w:r>
        <w:t>Je-li pojištění sjednáno systémem Bonus/Malus, lze u produktů sjednaných ve variantě Super uplatnit PRIMA Bonus (čl. 12 UCZ/Voz/24).</w:t>
      </w:r>
    </w:p>
    <w:p w14:paraId="29172817" w14:textId="77777777" w:rsidR="00D84C8E" w:rsidRDefault="00652612">
      <w:pPr>
        <w:numPr>
          <w:ilvl w:val="0"/>
          <w:numId w:val="3"/>
        </w:numPr>
        <w:spacing w:after="357"/>
        <w:ind w:right="4" w:hanging="340"/>
      </w:pPr>
      <w:r>
        <w:t>Promítnutí vlivu Bonusu-Malusu není změnou běžného pojistného ve smyslu občanského zákoníku. Oznámení výše pojistného po započtení Bonusu-Malusu je prováděno jako součást běžného předpisu pojistného k datu výročí smlouvy.</w:t>
      </w:r>
    </w:p>
    <w:p w14:paraId="7869CD4C" w14:textId="77777777" w:rsidR="00D84C8E" w:rsidRDefault="00652612">
      <w:pPr>
        <w:pStyle w:val="Nadpis1"/>
        <w:ind w:left="-5"/>
      </w:pPr>
      <w:r>
        <w:t>Článek 5</w:t>
      </w:r>
    </w:p>
    <w:p w14:paraId="0DF5DFBD" w14:textId="77777777" w:rsidR="00D84C8E" w:rsidRDefault="00652612">
      <w:pPr>
        <w:pStyle w:val="Nadpis2"/>
        <w:ind w:left="-5"/>
      </w:pPr>
      <w:r>
        <w:t>Povinnosti pojistníka, pojištěného a dalších účastníků pojištění</w:t>
      </w:r>
    </w:p>
    <w:p w14:paraId="2C950458" w14:textId="77777777" w:rsidR="00D84C8E" w:rsidRDefault="00652612">
      <w:pPr>
        <w:numPr>
          <w:ilvl w:val="0"/>
          <w:numId w:val="5"/>
        </w:numPr>
        <w:ind w:right="151" w:hanging="340"/>
      </w:pPr>
      <w:r>
        <w:t>Pojistník, jakož i pojištěný je povinen dodržovat právní předpisy upravující provoz na pozemních komunikacích a podmínky provozu vozidel a řídit se specifickými povinnostmi uvedenými v ZPOV, pojistných podmínkách a v pojistné smlouvě.</w:t>
      </w:r>
    </w:p>
    <w:p w14:paraId="6BD45DA9" w14:textId="77777777" w:rsidR="00D84C8E" w:rsidRDefault="00652612">
      <w:pPr>
        <w:numPr>
          <w:ilvl w:val="0"/>
          <w:numId w:val="5"/>
        </w:numPr>
        <w:ind w:right="151" w:hanging="340"/>
      </w:pPr>
      <w:r>
        <w:t>Pojistník je povinen seznámit pojištěného, provozovatele, vlastníka vozidla, řidiče a popřípadě další osoby, které byly pověřeny obsluhou vozidla, s podmínkami pojištění a zajistit, aby tyto osoby plnily povinnosti uvedené v příslušných právních předpisech a smluvních podmínkách pojištění.</w:t>
      </w:r>
    </w:p>
    <w:p w14:paraId="4D1A175A" w14:textId="77777777" w:rsidR="00D84C8E" w:rsidRDefault="00652612">
      <w:pPr>
        <w:numPr>
          <w:ilvl w:val="0"/>
          <w:numId w:val="5"/>
        </w:numPr>
        <w:ind w:right="151" w:hanging="340"/>
      </w:pPr>
      <w:r>
        <w:t>V případě, že pojistitel využije svého práva provést prohlídku vozidla při sjednání pojištění, je pojistník povinen vozidlo přistavit na místo určené pojistitelem. Na výzvu pojistitele je pojistník, pojištěný, provozovatel či vlastník vozidla povinen umožnit prohlídku pojištěného vozidla v souvislosti s oznámením škodné události.</w:t>
      </w:r>
    </w:p>
    <w:p w14:paraId="7CFEB461" w14:textId="77777777" w:rsidR="00D84C8E" w:rsidRDefault="00652612">
      <w:pPr>
        <w:numPr>
          <w:ilvl w:val="0"/>
          <w:numId w:val="5"/>
        </w:numPr>
        <w:ind w:right="151" w:hanging="340"/>
      </w:pPr>
      <w:r>
        <w:t>Pojištěný je dále povinen:</w:t>
      </w:r>
    </w:p>
    <w:p w14:paraId="525AE187" w14:textId="77777777" w:rsidR="00D84C8E" w:rsidRDefault="00652612">
      <w:pPr>
        <w:numPr>
          <w:ilvl w:val="1"/>
          <w:numId w:val="5"/>
        </w:numPr>
        <w:ind w:right="4" w:hanging="340"/>
      </w:pPr>
      <w:r>
        <w:t>bez zbytečného odkladu oznámit pojistiteli, že došlo ke škodné události, s uvedením skutkového stavu týkajícího se této události, předložit mu doklady vztahující se ke škodné události a v průběhu šetření škodné události postupovat v souladu s pokyny pojistitele;</w:t>
      </w:r>
    </w:p>
    <w:p w14:paraId="038ACE4A" w14:textId="77777777" w:rsidR="00D84C8E" w:rsidRDefault="00652612">
      <w:pPr>
        <w:numPr>
          <w:ilvl w:val="1"/>
          <w:numId w:val="5"/>
        </w:numPr>
        <w:ind w:right="4" w:hanging="340"/>
      </w:pPr>
      <w:r>
        <w:t>bez zbytečného odkladu oznámit pojistiteli, že bylo proti pojištěnému uplatněno právo na náhradu újmy a vyjádřit se k požadované náhradě a její výši;</w:t>
      </w:r>
    </w:p>
    <w:p w14:paraId="7F18A2FA" w14:textId="77777777" w:rsidR="00D84C8E" w:rsidRDefault="00652612">
      <w:pPr>
        <w:numPr>
          <w:ilvl w:val="1"/>
          <w:numId w:val="5"/>
        </w:numPr>
        <w:ind w:right="4" w:hanging="340"/>
      </w:pPr>
      <w:r>
        <w:t>bez zbytečného odkladu oznámit pojistiteli, že v souvislosti se škodnou událostí bylo zahájeno správní nebo trestní řízení, a neprodleně pojistitele informovat o jeho průběhu a výsledku;</w:t>
      </w:r>
    </w:p>
    <w:p w14:paraId="6F315691" w14:textId="77777777" w:rsidR="00D84C8E" w:rsidRDefault="00652612">
      <w:pPr>
        <w:numPr>
          <w:ilvl w:val="1"/>
          <w:numId w:val="5"/>
        </w:numPr>
        <w:ind w:right="4" w:hanging="340"/>
      </w:pPr>
      <w:r>
        <w:t>bez zbytečného odkladu oznámit pojistiteli, že poškozeným bylo uplatněno právo na náhradu újmy u soudu nebo u jiného příslušného orgánu, pokud se o této skutečnosti dozví;</w:t>
      </w:r>
    </w:p>
    <w:p w14:paraId="52D2DB5B" w14:textId="77777777" w:rsidR="00D84C8E" w:rsidRDefault="00652612">
      <w:pPr>
        <w:numPr>
          <w:ilvl w:val="1"/>
          <w:numId w:val="5"/>
        </w:numPr>
        <w:ind w:right="4" w:hanging="340"/>
      </w:pPr>
      <w:r>
        <w:t xml:space="preserve">v řízení o náhradě újmy postupovat tak, aby nezavdal příčinu k vydání rozsudku pro zmeškání nebo pro uznání, a zároveň, je-li to účelné, podat včas opravný prostředek proti rozhodnutí soudu vydanému v souvislosti se škodnou událostí a informovat pojistitele předem o všech významných úkonech učiněných v </w:t>
      </w:r>
      <w:r>
        <w:lastRenderedPageBreak/>
        <w:t>rámci řízení; f) předložit pojistiteli v případě dopravní nehody nepodléhající oznámení Policii České republiky podle zákona upravujícího silniční provoz bez zbytečného odkladu společný záznam o dopravní nehodě;</w:t>
      </w:r>
    </w:p>
    <w:p w14:paraId="7E361470" w14:textId="77777777" w:rsidR="00D84C8E" w:rsidRDefault="00652612">
      <w:pPr>
        <w:numPr>
          <w:ilvl w:val="1"/>
          <w:numId w:val="6"/>
        </w:numPr>
        <w:ind w:right="4" w:hanging="340"/>
      </w:pPr>
      <w:r>
        <w:t>oznámit pojistiteli, zda byla škodná událost způsobena při výkonu činnosti pro zaměstnavatele či jinou právnickou či fyzickou osobu;</w:t>
      </w:r>
    </w:p>
    <w:p w14:paraId="7BBAF97B" w14:textId="77777777" w:rsidR="00D84C8E" w:rsidRDefault="00652612">
      <w:pPr>
        <w:numPr>
          <w:ilvl w:val="1"/>
          <w:numId w:val="6"/>
        </w:numPr>
        <w:ind w:right="4" w:hanging="340"/>
      </w:pPr>
      <w:r>
        <w:t xml:space="preserve">před uznáním či uspokojením, byť i jen částečným, jakéhokoliv nároku poškozeného si vyžádat souhlas </w:t>
      </w:r>
    </w:p>
    <w:p w14:paraId="4F01D9FF" w14:textId="77777777" w:rsidR="00D84C8E" w:rsidRDefault="00652612">
      <w:pPr>
        <w:ind w:left="680" w:right="4" w:firstLine="0"/>
      </w:pPr>
      <w:r>
        <w:t>pojistitele;</w:t>
      </w:r>
    </w:p>
    <w:p w14:paraId="1514DE49" w14:textId="77777777" w:rsidR="00D84C8E" w:rsidRDefault="00652612">
      <w:pPr>
        <w:numPr>
          <w:ilvl w:val="1"/>
          <w:numId w:val="6"/>
        </w:numPr>
        <w:ind w:right="4" w:hanging="340"/>
      </w:pPr>
      <w:r>
        <w:t>nezavázat se bez předchozího souhlasu pojistitele k úhradě jakékoli pohledávky, neuzavřít soudní smír či mimosoudní vyrovnání;</w:t>
      </w:r>
    </w:p>
    <w:p w14:paraId="5CA05768" w14:textId="77777777" w:rsidR="00D84C8E" w:rsidRDefault="00652612">
      <w:pPr>
        <w:tabs>
          <w:tab w:val="center" w:pos="393"/>
          <w:tab w:val="center" w:pos="3701"/>
        </w:tabs>
        <w:ind w:left="0" w:right="0" w:firstLine="0"/>
      </w:pPr>
      <w:r>
        <w:rPr>
          <w:rFonts w:ascii="Calibri" w:eastAsia="Calibri" w:hAnsi="Calibri" w:cs="Calibri"/>
          <w:sz w:val="22"/>
        </w:rPr>
        <w:tab/>
      </w:r>
      <w:r>
        <w:t xml:space="preserve">i) </w:t>
      </w:r>
      <w:r>
        <w:tab/>
        <w:t>bez prodlení uhradit případný postih, na který vzniklo pojistiteli právo.</w:t>
      </w:r>
    </w:p>
    <w:p w14:paraId="0E46162A" w14:textId="77777777" w:rsidR="00D84C8E" w:rsidRDefault="00652612">
      <w:pPr>
        <w:pStyle w:val="Nadpis1"/>
        <w:ind w:left="-5"/>
      </w:pPr>
      <w:r>
        <w:t>Článek 6</w:t>
      </w:r>
    </w:p>
    <w:p w14:paraId="31CCF385" w14:textId="77777777" w:rsidR="00D84C8E" w:rsidRDefault="00652612">
      <w:pPr>
        <w:pStyle w:val="Nadpis2"/>
        <w:ind w:left="-5"/>
      </w:pPr>
      <w:r>
        <w:t>Výluky</w:t>
      </w:r>
    </w:p>
    <w:p w14:paraId="1EA6F9E1" w14:textId="77777777" w:rsidR="00D84C8E" w:rsidRDefault="00652612">
      <w:pPr>
        <w:numPr>
          <w:ilvl w:val="0"/>
          <w:numId w:val="7"/>
        </w:numPr>
        <w:ind w:right="4" w:hanging="340"/>
      </w:pPr>
      <w:r>
        <w:t>Pojistitel neposkytuje pojistné plnění za:</w:t>
      </w:r>
    </w:p>
    <w:p w14:paraId="06CCE7EF" w14:textId="77777777" w:rsidR="00D84C8E" w:rsidRDefault="00652612">
      <w:pPr>
        <w:numPr>
          <w:ilvl w:val="1"/>
          <w:numId w:val="7"/>
        </w:numPr>
        <w:ind w:right="4" w:hanging="340"/>
      </w:pPr>
      <w:r>
        <w:t>újmu, kterou utrpěl řidič vozidla, jehož provozem vznikla tato újma, a to v rozsahu, v jakém vznikla nebo se zvětšila následkem okolností, které se mu přičítají,</w:t>
      </w:r>
    </w:p>
    <w:p w14:paraId="7DEA8254" w14:textId="77777777" w:rsidR="00D84C8E" w:rsidRDefault="00652612">
      <w:pPr>
        <w:numPr>
          <w:ilvl w:val="1"/>
          <w:numId w:val="7"/>
        </w:numPr>
        <w:ind w:right="4" w:hanging="340"/>
      </w:pPr>
      <w:r>
        <w:t>škodu na vozidle, jehož provozem vznikla škoda, jakož i na věcech přepravovaných tímto vozidlem, s výjimkou škody vzniklé na věci, kterou měla tímto vozidlem přepravovaná osoba v době vzniku škodné události na sobě nebo u sebe, a to v rozsahu, v jakém je pojištěný povinen škodu nahradit,</w:t>
      </w:r>
    </w:p>
    <w:p w14:paraId="2896CDCC" w14:textId="77777777" w:rsidR="00D84C8E" w:rsidRDefault="00652612">
      <w:pPr>
        <w:numPr>
          <w:ilvl w:val="1"/>
          <w:numId w:val="7"/>
        </w:numPr>
        <w:ind w:right="4" w:hanging="340"/>
      </w:pPr>
      <w:r>
        <w:t>škodu podle § 17 odst. 2 písm. b) a c) ZPOV vzniklou mezi vozidly jízdní soupravy tvořené motorovým a přípojným vozidlem, jakož i škodu na věcech přepravovaných těmito vozidly, nejde-li o škodu vzniklou provozem jiného vozidla</w:t>
      </w:r>
    </w:p>
    <w:p w14:paraId="3C61D98F" w14:textId="77777777" w:rsidR="00D84C8E" w:rsidRDefault="00652612">
      <w:pPr>
        <w:numPr>
          <w:ilvl w:val="1"/>
          <w:numId w:val="7"/>
        </w:numPr>
        <w:ind w:right="4" w:hanging="340"/>
      </w:pPr>
      <w:r>
        <w:t>újmu vzniklou manipulací s nákladem stojícího vozidla,</w:t>
      </w:r>
    </w:p>
    <w:p w14:paraId="10E4239C" w14:textId="77777777" w:rsidR="00D84C8E" w:rsidRDefault="00652612">
      <w:pPr>
        <w:numPr>
          <w:ilvl w:val="1"/>
          <w:numId w:val="7"/>
        </w:numPr>
        <w:ind w:right="4" w:hanging="340"/>
      </w:pPr>
      <w:r>
        <w:t>náklady vzniklé poskytnutím léčebné péče, dávky nemocenského pojištění nebo důchodu z důchodového pojištění v důsledku újmy podle § 17 odst. 2 písm. a) ZPOV, kterou utrpěl řidič vozidla, jehož provozem vznikla tato újma, a to v rozsahu, v jakém vznikla nebo se zvětšila následkem okolností, které se mu přičítají,</w:t>
      </w:r>
    </w:p>
    <w:p w14:paraId="1B36D74A" w14:textId="77777777" w:rsidR="00D84C8E" w:rsidRDefault="00652612">
      <w:pPr>
        <w:numPr>
          <w:ilvl w:val="1"/>
          <w:numId w:val="7"/>
        </w:numPr>
        <w:ind w:right="4" w:hanging="340"/>
      </w:pPr>
      <w:r>
        <w:t xml:space="preserve">újmu vzniklou provozem vozidla při teroristickém činu nebo válečné události, jestliže má tento provoz přímou souvislost s tímto činem nebo událostí. </w:t>
      </w:r>
    </w:p>
    <w:p w14:paraId="21EDED87" w14:textId="77777777" w:rsidR="00D84C8E" w:rsidRDefault="00652612">
      <w:pPr>
        <w:numPr>
          <w:ilvl w:val="1"/>
          <w:numId w:val="7"/>
        </w:numPr>
        <w:ind w:right="4" w:hanging="340"/>
      </w:pPr>
      <w:r>
        <w:t>újmu vzniklou užitím vozidla při motorsportu.</w:t>
      </w:r>
    </w:p>
    <w:p w14:paraId="3FBE1DFF" w14:textId="77777777" w:rsidR="00D84C8E" w:rsidRDefault="00652612">
      <w:pPr>
        <w:numPr>
          <w:ilvl w:val="0"/>
          <w:numId w:val="7"/>
        </w:numPr>
        <w:ind w:right="4" w:hanging="340"/>
      </w:pPr>
      <w:r>
        <w:t>Vznikla-li újma vlastníku vozidla, který není jeho provozovatelem, provozem jeho vozidla, které v době vzniku škodné události řídila jiná osoba, nebo vznikla-li újma tomu, kdo s vozidlem, jehož provozem mu vznikla újma, oprávněně nakládá jako s vlastním nebo kdo s tímto vozidlem oprávněně vykonává právo pro sebe, a jestliže v době vzniku škodné události řídila vozidlo jiná osoba, nahradí pojistitel tomuto vlastníku nebo této osobě pouze újmu podle § 17 odst. 2 písm. a) ZPOV, včetně nákladů vynaložených zdra</w:t>
      </w:r>
      <w:r>
        <w:t>votní pojišťovnou podle § 18 písm. a) ZPOV a další regresní náhrady podle § 18 písm. b) a d) ZPOV.</w:t>
      </w:r>
    </w:p>
    <w:p w14:paraId="7B91A430" w14:textId="77777777" w:rsidR="00D84C8E" w:rsidRDefault="00652612">
      <w:pPr>
        <w:numPr>
          <w:ilvl w:val="0"/>
          <w:numId w:val="7"/>
        </w:numPr>
        <w:spacing w:after="357"/>
        <w:ind w:right="4" w:hanging="340"/>
      </w:pPr>
      <w:r>
        <w:t>V případě střetu vozidel, která jsou ve vlastnictví téže osoby, vzniká právo na pojistné plnění za újmu vzniklou této osobě pouze tehdy, jestliže jde o různé provozovatele vozidel zúčastněných na vzniku škodné události a jestliže tato osoba není provozovatelem vozidla, na němž újma vznikla.</w:t>
      </w:r>
    </w:p>
    <w:p w14:paraId="1D54BC80" w14:textId="77777777" w:rsidR="00D84C8E" w:rsidRDefault="00652612">
      <w:pPr>
        <w:pStyle w:val="Nadpis1"/>
        <w:ind w:left="-5"/>
      </w:pPr>
      <w:r>
        <w:t>Článek 7</w:t>
      </w:r>
    </w:p>
    <w:p w14:paraId="56D0461A" w14:textId="77777777" w:rsidR="00D84C8E" w:rsidRDefault="00652612">
      <w:pPr>
        <w:pStyle w:val="Nadpis2"/>
        <w:ind w:left="-5"/>
      </w:pPr>
      <w:r>
        <w:t xml:space="preserve">Právo pojistitele na náhradu vyplaceného plnění </w:t>
      </w:r>
    </w:p>
    <w:p w14:paraId="0F1E37DA" w14:textId="77777777" w:rsidR="00D84C8E" w:rsidRDefault="00652612">
      <w:pPr>
        <w:numPr>
          <w:ilvl w:val="0"/>
          <w:numId w:val="8"/>
        </w:numPr>
        <w:ind w:right="4" w:hanging="340"/>
      </w:pPr>
      <w:r>
        <w:t xml:space="preserve">Právo pojistitele na náhradu vyplacené částky se řídí ZPOV a občanským zákoníkem. </w:t>
      </w:r>
    </w:p>
    <w:p w14:paraId="155168F6" w14:textId="77777777" w:rsidR="00D84C8E" w:rsidRDefault="00652612">
      <w:pPr>
        <w:numPr>
          <w:ilvl w:val="0"/>
          <w:numId w:val="8"/>
        </w:numPr>
        <w:ind w:right="4" w:hanging="340"/>
      </w:pPr>
      <w:r>
        <w:t xml:space="preserve">Vedle případů stanovených ZPOV má pojistitel proti pojištěnému právo na úhradu toho, co za něho plnil, pokud pojištěný: </w:t>
      </w:r>
    </w:p>
    <w:p w14:paraId="6F3452C5" w14:textId="77777777" w:rsidR="00D84C8E" w:rsidRDefault="00652612">
      <w:pPr>
        <w:numPr>
          <w:ilvl w:val="1"/>
          <w:numId w:val="8"/>
        </w:numPr>
        <w:ind w:right="4" w:hanging="340"/>
      </w:pPr>
      <w:r>
        <w:t xml:space="preserve">bez předchozího souhlasu pojistitele uzavřel soudní smír nebo se s poškozeným dohodl na jiném mimosoudním vyrovnání nebo se zavázal k zaplacení dluhu či takový dluh uznal, a to v rozsahu, v jakém tím byla zvýšena povinnost pojistitele plnit (v případě promlčeného dluhu vždy v celém rozsahu); </w:t>
      </w:r>
    </w:p>
    <w:p w14:paraId="4558529E" w14:textId="77777777" w:rsidR="00D84C8E" w:rsidRDefault="00652612">
      <w:pPr>
        <w:numPr>
          <w:ilvl w:val="1"/>
          <w:numId w:val="8"/>
        </w:numPr>
        <w:ind w:right="4" w:hanging="340"/>
      </w:pPr>
      <w:r>
        <w:t xml:space="preserve">porušil závažným způsobem povinnosti předcházet vzniku škodné události nebo činit veškerá nezbytná opatření k zabránění zvětšování rozsahu újmy či postupovat při řešení škodné události v souladu s pokyny pojistitele; právo na úhradu pojistitel uplatní úměrně tomu, jaký vliv mělo porušení těchto povinností na rozsah povinnosti pojistitele plnit. </w:t>
      </w:r>
    </w:p>
    <w:p w14:paraId="68664566" w14:textId="77777777" w:rsidR="00D84C8E" w:rsidRDefault="00652612">
      <w:pPr>
        <w:numPr>
          <w:ilvl w:val="0"/>
          <w:numId w:val="8"/>
        </w:numPr>
        <w:spacing w:after="357"/>
        <w:ind w:right="4" w:hanging="340"/>
      </w:pPr>
      <w:r>
        <w:t>Pojištěný, resp. pojistník je povinen bez zbytečného odkladu pojistiteli oznámit, že nastaly okolnosti odůvodňující práva uvedená v předchozích odstavcích a předat mu doklady potřebné k uplatnění těchto práv.</w:t>
      </w:r>
    </w:p>
    <w:p w14:paraId="36813744" w14:textId="77777777" w:rsidR="00D84C8E" w:rsidRDefault="00652612">
      <w:pPr>
        <w:pStyle w:val="Nadpis1"/>
        <w:ind w:left="-5"/>
      </w:pPr>
      <w:r>
        <w:t>Článek 8</w:t>
      </w:r>
    </w:p>
    <w:p w14:paraId="1632040C" w14:textId="77777777" w:rsidR="00D84C8E" w:rsidRDefault="00652612">
      <w:pPr>
        <w:pStyle w:val="Nadpis2"/>
        <w:ind w:left="-5"/>
      </w:pPr>
      <w:r>
        <w:t>Spoluúčast</w:t>
      </w:r>
    </w:p>
    <w:p w14:paraId="17D1F9C2" w14:textId="77777777" w:rsidR="00D84C8E" w:rsidRDefault="00652612">
      <w:pPr>
        <w:numPr>
          <w:ilvl w:val="0"/>
          <w:numId w:val="9"/>
        </w:numPr>
        <w:ind w:right="346" w:hanging="340"/>
      </w:pPr>
      <w:r>
        <w:t>POV je sjednáno se spoluúčastí jen tehdy, je-li to ujednáno v pojistné smlouvě.</w:t>
      </w:r>
    </w:p>
    <w:p w14:paraId="6D674032" w14:textId="77777777" w:rsidR="00D84C8E" w:rsidRDefault="00652612">
      <w:pPr>
        <w:numPr>
          <w:ilvl w:val="0"/>
          <w:numId w:val="9"/>
        </w:numPr>
        <w:spacing w:after="357"/>
        <w:ind w:right="346" w:hanging="340"/>
      </w:pPr>
      <w:r>
        <w:t>V případě, že byla sjednána spoluúčast, hradí pojistitel poškozenému plnění v plné výši a následně má vůči pojistníkovi nárok na úhradu částky odpovídající sjednané spoluúčasti. Tato částka je splatná do 30 dnů od odeslání výzvy k úhradě.</w:t>
      </w:r>
    </w:p>
    <w:p w14:paraId="2D16AB43" w14:textId="77777777" w:rsidR="00D84C8E" w:rsidRDefault="00652612">
      <w:pPr>
        <w:pStyle w:val="Nadpis1"/>
        <w:ind w:left="-5"/>
      </w:pPr>
      <w:r>
        <w:lastRenderedPageBreak/>
        <w:t>Článek 9</w:t>
      </w:r>
    </w:p>
    <w:p w14:paraId="59B4EECC" w14:textId="77777777" w:rsidR="00D84C8E" w:rsidRDefault="00652612">
      <w:pPr>
        <w:pStyle w:val="Nadpis2"/>
        <w:ind w:left="-5"/>
      </w:pPr>
      <w:r>
        <w:t>Zánik pojištění</w:t>
      </w:r>
    </w:p>
    <w:p w14:paraId="0D39F090" w14:textId="77777777" w:rsidR="00D84C8E" w:rsidRDefault="00652612">
      <w:pPr>
        <w:numPr>
          <w:ilvl w:val="0"/>
          <w:numId w:val="10"/>
        </w:numPr>
        <w:ind w:right="4" w:hanging="340"/>
      </w:pPr>
      <w:r>
        <w:t>POV zaniká v případech stanovených v UCZ/15, s výjimkou ustanovení čl. 6 odst. 6.3.2., 6.4., 6.5.1. a 6.5.2., které se na toto pojištění nepoužijí; dále POV zaniká:</w:t>
      </w:r>
    </w:p>
    <w:p w14:paraId="02CE7FBC" w14:textId="77777777" w:rsidR="00D84C8E" w:rsidRDefault="00652612">
      <w:pPr>
        <w:numPr>
          <w:ilvl w:val="1"/>
          <w:numId w:val="10"/>
        </w:numPr>
        <w:ind w:right="4" w:hanging="340"/>
      </w:pPr>
      <w:r>
        <w:t>dnem oznámení zániku pojistného zájmu pojistníka na pojištění odpovědnosti pojistiteli, pojistitel je oprávněn požadovat prokázaní zániku pojistného zájmu;</w:t>
      </w:r>
    </w:p>
    <w:p w14:paraId="47070459" w14:textId="77777777" w:rsidR="00D84C8E" w:rsidRDefault="00652612">
      <w:pPr>
        <w:numPr>
          <w:ilvl w:val="1"/>
          <w:numId w:val="10"/>
        </w:numPr>
        <w:ind w:right="4" w:hanging="340"/>
      </w:pPr>
      <w:r>
        <w:t>odcizením pojištěného vozidla; nelze-li dobu odcizení vozidla přesně určit, má se za to, že vozidlo bylo odcizeno, jakmile Policie České republiky nebo policejní orgán jiného státu přijal oznámení o odcizení vozidla;</w:t>
      </w:r>
    </w:p>
    <w:p w14:paraId="733E94E3" w14:textId="77777777" w:rsidR="00D84C8E" w:rsidRDefault="00652612">
      <w:pPr>
        <w:numPr>
          <w:ilvl w:val="1"/>
          <w:numId w:val="10"/>
        </w:numPr>
        <w:ind w:right="4" w:hanging="340"/>
      </w:pPr>
      <w:r>
        <w:t>dnem vyřazení pojištěného vozidla z provozu podle zákona upravujícího podmínky provozu vozidel na pozemních komunikacích, nebylo-li dohodnuto přerušení tohoto pojištění, nebo</w:t>
      </w:r>
    </w:p>
    <w:p w14:paraId="42E2AF0B" w14:textId="77777777" w:rsidR="00D84C8E" w:rsidRDefault="00652612">
      <w:pPr>
        <w:numPr>
          <w:ilvl w:val="1"/>
          <w:numId w:val="10"/>
        </w:numPr>
        <w:ind w:right="4" w:hanging="340"/>
      </w:pPr>
      <w:r>
        <w:t>dnem zápisu zániku pojištěného vozidla v registru silničních vozidel; jde-li o jiné než registrované vozidlo, dnem, kdy nastala nevratná změna znemožňující provoz tuzemského vozidla.</w:t>
      </w:r>
    </w:p>
    <w:p w14:paraId="0D62061A" w14:textId="77777777" w:rsidR="00D84C8E" w:rsidRDefault="00652612">
      <w:pPr>
        <w:numPr>
          <w:ilvl w:val="0"/>
          <w:numId w:val="10"/>
        </w:numPr>
        <w:spacing w:after="357"/>
        <w:ind w:right="4" w:hanging="340"/>
      </w:pPr>
      <w:r>
        <w:t>Pojistník oznámí pojistiteli bez zbytečného odkladu vznik skutečnosti podle odstavce 1 písm. a) až d) tohoto článku, změnu vlastnictví vozidla a změnu jeho provozovatele.</w:t>
      </w:r>
    </w:p>
    <w:p w14:paraId="0490C367" w14:textId="77777777" w:rsidR="00D84C8E" w:rsidRDefault="00652612">
      <w:pPr>
        <w:pStyle w:val="Nadpis1"/>
        <w:ind w:left="-5"/>
      </w:pPr>
      <w:r>
        <w:t>Článek 10</w:t>
      </w:r>
    </w:p>
    <w:p w14:paraId="40A5037C" w14:textId="77777777" w:rsidR="00D84C8E" w:rsidRDefault="00652612">
      <w:pPr>
        <w:pStyle w:val="Nadpis2"/>
        <w:ind w:left="-5"/>
      </w:pPr>
      <w:r>
        <w:t>Závěrečná ustanovení</w:t>
      </w:r>
    </w:p>
    <w:p w14:paraId="15838750" w14:textId="77777777" w:rsidR="00D84C8E" w:rsidRDefault="00652612">
      <w:pPr>
        <w:ind w:left="-15" w:right="4" w:firstLine="0"/>
      </w:pPr>
      <w:r>
        <w:t xml:space="preserve">Tyto všeobecné pojistné podmínky nabývají účinnosti </w:t>
      </w:r>
      <w:r>
        <w:rPr>
          <w:b/>
        </w:rPr>
        <w:t>1. 4. 2024</w:t>
      </w:r>
      <w:r>
        <w:t>.</w:t>
      </w:r>
    </w:p>
    <w:sectPr w:rsidR="00D84C8E">
      <w:footerReference w:type="even" r:id="rId7"/>
      <w:footerReference w:type="default" r:id="rId8"/>
      <w:footerReference w:type="first" r:id="rId9"/>
      <w:pgSz w:w="11906" w:h="16838"/>
      <w:pgMar w:top="737" w:right="737" w:bottom="695" w:left="737" w:header="708"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3490F" w14:textId="77777777" w:rsidR="00652612" w:rsidRDefault="00652612">
      <w:pPr>
        <w:spacing w:after="0" w:line="240" w:lineRule="auto"/>
      </w:pPr>
      <w:r>
        <w:separator/>
      </w:r>
    </w:p>
  </w:endnote>
  <w:endnote w:type="continuationSeparator" w:id="0">
    <w:p w14:paraId="5A25CD00" w14:textId="77777777" w:rsidR="00652612" w:rsidRDefault="0065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9E57A" w14:textId="77777777" w:rsidR="00D84C8E" w:rsidRDefault="00652612">
    <w:pPr>
      <w:spacing w:after="0"/>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5</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FA78" w14:textId="77777777" w:rsidR="00D84C8E" w:rsidRDefault="00652612">
    <w:pPr>
      <w:spacing w:after="0"/>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5</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68472" w14:textId="77777777" w:rsidR="00D84C8E" w:rsidRDefault="00652612">
    <w:pPr>
      <w:spacing w:after="0"/>
      <w:ind w:left="0" w:right="0" w:firstLine="0"/>
      <w:jc w:val="center"/>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CCE59" w14:textId="77777777" w:rsidR="00652612" w:rsidRDefault="00652612">
      <w:pPr>
        <w:spacing w:after="0" w:line="240" w:lineRule="auto"/>
      </w:pPr>
      <w:r>
        <w:separator/>
      </w:r>
    </w:p>
  </w:footnote>
  <w:footnote w:type="continuationSeparator" w:id="0">
    <w:p w14:paraId="46898E58" w14:textId="77777777" w:rsidR="00652612" w:rsidRDefault="00652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355D"/>
    <w:multiLevelType w:val="hybridMultilevel"/>
    <w:tmpl w:val="0190660E"/>
    <w:lvl w:ilvl="0" w:tplc="8864D2DA">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244550">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80C2AA">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C68D3E">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B847DE">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F84238">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967946">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2C17A">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8839B6">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F460B2"/>
    <w:multiLevelType w:val="hybridMultilevel"/>
    <w:tmpl w:val="BDFE5236"/>
    <w:lvl w:ilvl="0" w:tplc="75FA881C">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F675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34AE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6C037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4CC6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70F6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9A93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AED0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C6B8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C23EA4"/>
    <w:multiLevelType w:val="hybridMultilevel"/>
    <w:tmpl w:val="AD040108"/>
    <w:lvl w:ilvl="0" w:tplc="CB00535A">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3CCBAA">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E6230C">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AE4082">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0E3928">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F49136">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CECC8E">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6DD7A">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FC284C">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387796"/>
    <w:multiLevelType w:val="hybridMultilevel"/>
    <w:tmpl w:val="1A76A8DA"/>
    <w:lvl w:ilvl="0" w:tplc="4F92FC66">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18B7D8">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70DC76">
      <w:start w:val="1"/>
      <w:numFmt w:val="decimal"/>
      <w:lvlText w:val="%3."/>
      <w:lvlJc w:val="left"/>
      <w:pPr>
        <w:ind w:left="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8E368A">
      <w:start w:val="1"/>
      <w:numFmt w:val="decimal"/>
      <w:lvlText w:val="%4"/>
      <w:lvlJc w:val="left"/>
      <w:pPr>
        <w:ind w:left="1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5CEB86">
      <w:start w:val="1"/>
      <w:numFmt w:val="lowerLetter"/>
      <w:lvlText w:val="%5"/>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16F594">
      <w:start w:val="1"/>
      <w:numFmt w:val="lowerRoman"/>
      <w:lvlText w:val="%6"/>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2F036">
      <w:start w:val="1"/>
      <w:numFmt w:val="decimal"/>
      <w:lvlText w:val="%7"/>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980F40">
      <w:start w:val="1"/>
      <w:numFmt w:val="lowerLetter"/>
      <w:lvlText w:val="%8"/>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C6F7E8">
      <w:start w:val="1"/>
      <w:numFmt w:val="lowerRoman"/>
      <w:lvlText w:val="%9"/>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8E0D23"/>
    <w:multiLevelType w:val="hybridMultilevel"/>
    <w:tmpl w:val="2FE0FADE"/>
    <w:lvl w:ilvl="0" w:tplc="AFD04D7C">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76C2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9E993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7468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A9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AC1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D62A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44C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C86F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BF202C"/>
    <w:multiLevelType w:val="hybridMultilevel"/>
    <w:tmpl w:val="C018CBA0"/>
    <w:lvl w:ilvl="0" w:tplc="2EDE6B0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A066EC">
      <w:start w:val="1"/>
      <w:numFmt w:val="bullet"/>
      <w:lvlText w:val="–"/>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0D432">
      <w:start w:val="1"/>
      <w:numFmt w:val="bullet"/>
      <w:lvlText w:val="▪"/>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B60CE0">
      <w:start w:val="1"/>
      <w:numFmt w:val="bullet"/>
      <w:lvlText w:val="•"/>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CEA180">
      <w:start w:val="1"/>
      <w:numFmt w:val="bullet"/>
      <w:lvlText w:val="o"/>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20C344">
      <w:start w:val="1"/>
      <w:numFmt w:val="bullet"/>
      <w:lvlText w:val="▪"/>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54C356">
      <w:start w:val="1"/>
      <w:numFmt w:val="bullet"/>
      <w:lvlText w:val="•"/>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7AD9BE">
      <w:start w:val="1"/>
      <w:numFmt w:val="bullet"/>
      <w:lvlText w:val="o"/>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560F9A">
      <w:start w:val="1"/>
      <w:numFmt w:val="bullet"/>
      <w:lvlText w:val="▪"/>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BA5CA6"/>
    <w:multiLevelType w:val="hybridMultilevel"/>
    <w:tmpl w:val="2550B1C2"/>
    <w:lvl w:ilvl="0" w:tplc="00E6C7DE">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C85EBE">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487024">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12FE4E">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3E2046">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CC1AAC">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9EFE10">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C62FEE">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78D6D2">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E0E1461"/>
    <w:multiLevelType w:val="hybridMultilevel"/>
    <w:tmpl w:val="227C5952"/>
    <w:lvl w:ilvl="0" w:tplc="333265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AA3060">
      <w:start w:val="7"/>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B2DF64">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70CF78">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6A02D2">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1CD59E">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A4595E">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1481F6">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64C5D8">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DE510B"/>
    <w:multiLevelType w:val="hybridMultilevel"/>
    <w:tmpl w:val="99C005F4"/>
    <w:lvl w:ilvl="0" w:tplc="CB68F4E2">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4482C">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A82408">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54703E">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608CBE">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D4691C">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820124">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AE0404">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D8883C">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D265F25"/>
    <w:multiLevelType w:val="hybridMultilevel"/>
    <w:tmpl w:val="A91E8F64"/>
    <w:lvl w:ilvl="0" w:tplc="8ED022BE">
      <w:start w:val="1"/>
      <w:numFmt w:val="decimal"/>
      <w:lvlText w:val="%1."/>
      <w:lvlJc w:val="left"/>
      <w:pPr>
        <w:ind w:left="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768962">
      <w:start w:val="1"/>
      <w:numFmt w:val="lowerLetter"/>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3C94FA">
      <w:start w:val="1"/>
      <w:numFmt w:val="lowerRoman"/>
      <w:lvlText w:val="%3"/>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DE667E">
      <w:start w:val="1"/>
      <w:numFmt w:val="decimal"/>
      <w:lvlText w:val="%4"/>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F042BE">
      <w:start w:val="1"/>
      <w:numFmt w:val="lowerLetter"/>
      <w:lvlText w:val="%5"/>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58C8BA">
      <w:start w:val="1"/>
      <w:numFmt w:val="lowerRoman"/>
      <w:lvlText w:val="%6"/>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B6FEBE">
      <w:start w:val="1"/>
      <w:numFmt w:val="decimal"/>
      <w:lvlText w:val="%7"/>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28450">
      <w:start w:val="1"/>
      <w:numFmt w:val="lowerLetter"/>
      <w:lvlText w:val="%8"/>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EA9CC4">
      <w:start w:val="1"/>
      <w:numFmt w:val="lowerRoman"/>
      <w:lvlText w:val="%9"/>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10556293">
    <w:abstractNumId w:val="1"/>
  </w:num>
  <w:num w:numId="2" w16cid:durableId="1181049103">
    <w:abstractNumId w:val="8"/>
  </w:num>
  <w:num w:numId="3" w16cid:durableId="1038359427">
    <w:abstractNumId w:val="3"/>
  </w:num>
  <w:num w:numId="4" w16cid:durableId="2059936441">
    <w:abstractNumId w:val="5"/>
  </w:num>
  <w:num w:numId="5" w16cid:durableId="1950354278">
    <w:abstractNumId w:val="2"/>
  </w:num>
  <w:num w:numId="6" w16cid:durableId="1316881451">
    <w:abstractNumId w:val="7"/>
  </w:num>
  <w:num w:numId="7" w16cid:durableId="295453942">
    <w:abstractNumId w:val="6"/>
  </w:num>
  <w:num w:numId="8" w16cid:durableId="2128815146">
    <w:abstractNumId w:val="9"/>
  </w:num>
  <w:num w:numId="9" w16cid:durableId="1486707350">
    <w:abstractNumId w:val="4"/>
  </w:num>
  <w:num w:numId="10" w16cid:durableId="5809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8E"/>
    <w:rsid w:val="00652612"/>
    <w:rsid w:val="00B8126F"/>
    <w:rsid w:val="00D84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6E98"/>
  <w15:docId w15:val="{CFD0DF8B-E242-4338-B203-0E774A39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9" w:lineRule="auto"/>
      <w:ind w:left="350" w:right="6879" w:hanging="350"/>
    </w:pPr>
    <w:rPr>
      <w:rFonts w:ascii="Arial" w:eastAsia="Arial" w:hAnsi="Arial" w:cs="Arial"/>
      <w:color w:val="000000"/>
      <w:sz w:val="20"/>
    </w:rPr>
  </w:style>
  <w:style w:type="paragraph" w:styleId="Nadpis1">
    <w:name w:val="heading 1"/>
    <w:next w:val="Normln"/>
    <w:link w:val="Nadpis1Char"/>
    <w:uiPriority w:val="9"/>
    <w:qFormat/>
    <w:pPr>
      <w:keepNext/>
      <w:keepLines/>
      <w:spacing w:after="0" w:line="259" w:lineRule="auto"/>
      <w:ind w:left="10" w:hanging="10"/>
      <w:outlineLvl w:val="0"/>
    </w:pPr>
    <w:rPr>
      <w:rFonts w:ascii="Arial" w:eastAsia="Arial" w:hAnsi="Arial" w:cs="Arial"/>
      <w:b/>
      <w:color w:val="005CA9"/>
      <w:sz w:val="28"/>
    </w:rPr>
  </w:style>
  <w:style w:type="paragraph" w:styleId="Nadpis2">
    <w:name w:val="heading 2"/>
    <w:next w:val="Normln"/>
    <w:link w:val="Nadpis2Char"/>
    <w:uiPriority w:val="9"/>
    <w:unhideWhenUsed/>
    <w:qFormat/>
    <w:pPr>
      <w:keepNext/>
      <w:keepLines/>
      <w:spacing w:after="23" w:line="259" w:lineRule="auto"/>
      <w:ind w:left="10" w:hanging="10"/>
      <w:outlineLvl w:val="1"/>
    </w:pPr>
    <w:rPr>
      <w:rFonts w:ascii="Arial" w:eastAsia="Arial" w:hAnsi="Arial" w:cs="Arial"/>
      <w:b/>
      <w:color w:val="005CA9"/>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5CA9"/>
      <w:sz w:val="22"/>
    </w:rPr>
  </w:style>
  <w:style w:type="character" w:customStyle="1" w:styleId="Nadpis1Char">
    <w:name w:val="Nadpis 1 Char"/>
    <w:link w:val="Nadpis1"/>
    <w:rPr>
      <w:rFonts w:ascii="Arial" w:eastAsia="Arial" w:hAnsi="Arial" w:cs="Arial"/>
      <w:b/>
      <w:color w:val="005CA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2324</Words>
  <Characters>13717</Characters>
  <Application>Microsoft Office Word</Application>
  <DocSecurity>0</DocSecurity>
  <Lines>114</Lines>
  <Paragraphs>32</Paragraphs>
  <ScaleCrop>false</ScaleCrop>
  <Company>Národní muzeum</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Lubovská Markéta</dc:creator>
  <cp:keywords/>
  <cp:lastModifiedBy>Lubovská Markéta</cp:lastModifiedBy>
  <cp:revision>2</cp:revision>
  <dcterms:created xsi:type="dcterms:W3CDTF">2024-07-11T14:22:00Z</dcterms:created>
  <dcterms:modified xsi:type="dcterms:W3CDTF">2024-07-11T14:22:00Z</dcterms:modified>
</cp:coreProperties>
</file>