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E45DAD" w:rsidP="00D421F7">
      <w:pPr>
        <w:rPr>
          <w:rFonts w:ascii="Arial" w:hAnsi="Arial" w:cs="Arial"/>
          <w:b/>
          <w:sz w:val="22"/>
          <w:szCs w:val="22"/>
        </w:rPr>
      </w:pPr>
      <w:r>
        <w:rPr>
          <w:rFonts w:ascii="Arial" w:hAnsi="Arial" w:cs="Arial"/>
          <w:b/>
          <w:sz w:val="22"/>
          <w:szCs w:val="22"/>
        </w:rPr>
        <w:t>Kupující</w:t>
      </w:r>
    </w:p>
    <w:p w:rsidR="00180232" w:rsidRDefault="00180232" w:rsidP="00D421F7">
      <w:pPr>
        <w:rPr>
          <w:rFonts w:ascii="Arial" w:hAnsi="Arial" w:cs="Arial"/>
          <w:b/>
          <w:sz w:val="22"/>
          <w:szCs w:val="22"/>
        </w:rPr>
      </w:pP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r w:rsidR="00180232">
        <w:rPr>
          <w:rFonts w:ascii="Arial" w:hAnsi="Arial" w:cs="Arial"/>
          <w:sz w:val="22"/>
          <w:szCs w:val="22"/>
        </w:rPr>
        <w:t xml:space="preserve">, </w:t>
      </w: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IČ: 00023337</w:t>
      </w:r>
    </w:p>
    <w:p w:rsidR="00D50EE3" w:rsidRDefault="00D50EE3" w:rsidP="00D421F7">
      <w:pPr>
        <w:rPr>
          <w:rFonts w:ascii="Arial" w:hAnsi="Arial" w:cs="Arial"/>
          <w:sz w:val="22"/>
          <w:szCs w:val="22"/>
        </w:rPr>
      </w:pPr>
      <w:r w:rsidRPr="00D42B3D">
        <w:rPr>
          <w:rFonts w:ascii="Arial" w:hAnsi="Arial" w:cs="Arial"/>
          <w:sz w:val="22"/>
          <w:szCs w:val="22"/>
        </w:rPr>
        <w:t>DIČ: CZ00023337</w:t>
      </w:r>
    </w:p>
    <w:p w:rsidR="00D50EE3" w:rsidRPr="00D42B3D" w:rsidRDefault="00D50EE3" w:rsidP="00D421F7">
      <w:pPr>
        <w:rPr>
          <w:rFonts w:ascii="Arial" w:hAnsi="Arial" w:cs="Arial"/>
          <w:sz w:val="22"/>
          <w:szCs w:val="22"/>
        </w:rPr>
      </w:pPr>
      <w:r w:rsidRPr="00D42B3D">
        <w:rPr>
          <w:rFonts w:ascii="Arial" w:hAnsi="Arial" w:cs="Arial"/>
          <w:sz w:val="22"/>
          <w:szCs w:val="22"/>
        </w:rPr>
        <w:t>zastoupené</w:t>
      </w:r>
      <w:r w:rsidR="00180232">
        <w:rPr>
          <w:rFonts w:ascii="Arial" w:hAnsi="Arial" w:cs="Arial"/>
          <w:sz w:val="22"/>
          <w:szCs w:val="22"/>
        </w:rPr>
        <w:t>:</w:t>
      </w:r>
      <w:r w:rsidRPr="00D42B3D">
        <w:rPr>
          <w:rFonts w:ascii="Arial" w:hAnsi="Arial" w:cs="Arial"/>
          <w:sz w:val="22"/>
          <w:szCs w:val="22"/>
        </w:rPr>
        <w:t xml:space="preserve"> </w:t>
      </w:r>
      <w:r w:rsidR="00BD3E5E">
        <w:rPr>
          <w:rFonts w:ascii="Arial" w:hAnsi="Arial" w:cs="Arial"/>
          <w:sz w:val="22"/>
          <w:szCs w:val="22"/>
        </w:rPr>
        <w:t>prof. MgA</w:t>
      </w:r>
      <w:r w:rsidR="00180232">
        <w:rPr>
          <w:rFonts w:ascii="Arial" w:hAnsi="Arial" w:cs="Arial"/>
          <w:sz w:val="22"/>
          <w:szCs w:val="22"/>
        </w:rPr>
        <w:t xml:space="preserve">. </w:t>
      </w:r>
      <w:r w:rsidR="00BD3E5E">
        <w:rPr>
          <w:rFonts w:ascii="Arial" w:hAnsi="Arial" w:cs="Arial"/>
          <w:sz w:val="22"/>
          <w:szCs w:val="22"/>
        </w:rPr>
        <w:t>Jan Burian</w:t>
      </w:r>
      <w:r w:rsidR="00180232">
        <w:rPr>
          <w:rFonts w:ascii="Arial" w:hAnsi="Arial" w:cs="Arial"/>
          <w:sz w:val="22"/>
          <w:szCs w:val="22"/>
        </w:rPr>
        <w:t xml:space="preserve">, ředitel </w:t>
      </w:r>
      <w:r w:rsidR="00BD3E5E">
        <w:rPr>
          <w:rFonts w:ascii="Arial" w:hAnsi="Arial" w:cs="Arial"/>
          <w:sz w:val="22"/>
          <w:szCs w:val="22"/>
        </w:rPr>
        <w:t>Národního divadla</w:t>
      </w:r>
      <w:r w:rsidRPr="00D42B3D">
        <w:rPr>
          <w:rFonts w:ascii="Arial" w:hAnsi="Arial" w:cs="Arial"/>
          <w:sz w:val="22"/>
          <w:szCs w:val="22"/>
        </w:rPr>
        <w:t xml:space="preserve"> </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E45DAD" w:rsidRPr="00E45DAD" w:rsidRDefault="00E45DAD" w:rsidP="00D421F7">
      <w:pPr>
        <w:rPr>
          <w:rFonts w:ascii="Arial" w:hAnsi="Arial" w:cs="Arial"/>
          <w:b/>
          <w:bCs/>
          <w:sz w:val="22"/>
          <w:szCs w:val="22"/>
        </w:rPr>
      </w:pPr>
      <w:r>
        <w:rPr>
          <w:rFonts w:ascii="Arial" w:hAnsi="Arial" w:cs="Arial"/>
          <w:b/>
          <w:bCs/>
          <w:sz w:val="22"/>
          <w:szCs w:val="22"/>
        </w:rPr>
        <w:t>Prodávající</w:t>
      </w:r>
    </w:p>
    <w:p w:rsidR="00180232" w:rsidRDefault="00180232" w:rsidP="00D421F7">
      <w:pPr>
        <w:rPr>
          <w:rFonts w:ascii="Arial" w:hAnsi="Arial" w:cs="Arial"/>
          <w:b/>
          <w:sz w:val="22"/>
          <w:szCs w:val="22"/>
        </w:rPr>
      </w:pPr>
    </w:p>
    <w:p w:rsidR="001072BC" w:rsidRDefault="001072BC" w:rsidP="001072BC">
      <w:pPr>
        <w:rPr>
          <w:rFonts w:ascii="Arial" w:hAnsi="Arial" w:cs="Arial"/>
          <w:b/>
          <w:kern w:val="0"/>
          <w:sz w:val="22"/>
          <w:szCs w:val="22"/>
          <w:lang w:eastAsia="cs-CZ"/>
        </w:rPr>
      </w:pPr>
      <w:r>
        <w:rPr>
          <w:rFonts w:ascii="Arial" w:hAnsi="Arial" w:cs="Arial"/>
          <w:b/>
          <w:sz w:val="22"/>
          <w:szCs w:val="22"/>
        </w:rPr>
        <w:t>DC Computers s.r.o.</w:t>
      </w:r>
    </w:p>
    <w:p w:rsidR="001072BC" w:rsidRDefault="001072BC" w:rsidP="001072BC">
      <w:pPr>
        <w:rPr>
          <w:rFonts w:ascii="Arial" w:hAnsi="Arial" w:cs="Arial"/>
          <w:sz w:val="22"/>
          <w:szCs w:val="22"/>
        </w:rPr>
      </w:pPr>
      <w:r>
        <w:rPr>
          <w:rFonts w:ascii="Arial" w:hAnsi="Arial" w:cs="Arial"/>
          <w:sz w:val="22"/>
          <w:szCs w:val="22"/>
        </w:rPr>
        <w:t>se sídlem Za Ženskými domovy 124/3, 150 00 Praha 5</w:t>
      </w:r>
    </w:p>
    <w:p w:rsidR="001072BC" w:rsidRDefault="001072BC" w:rsidP="001072BC">
      <w:pPr>
        <w:rPr>
          <w:rFonts w:ascii="Arial" w:hAnsi="Arial" w:cs="Arial"/>
          <w:sz w:val="22"/>
          <w:szCs w:val="22"/>
        </w:rPr>
      </w:pPr>
      <w:r>
        <w:rPr>
          <w:rFonts w:ascii="Arial" w:hAnsi="Arial" w:cs="Arial"/>
          <w:sz w:val="22"/>
          <w:szCs w:val="22"/>
        </w:rPr>
        <w:t xml:space="preserve">IČ: 25680781 </w:t>
      </w:r>
    </w:p>
    <w:p w:rsidR="001072BC" w:rsidRDefault="001072BC" w:rsidP="001072BC">
      <w:pPr>
        <w:jc w:val="both"/>
        <w:rPr>
          <w:rFonts w:ascii="Arial" w:hAnsi="Arial" w:cs="Arial"/>
          <w:sz w:val="22"/>
          <w:szCs w:val="22"/>
        </w:rPr>
      </w:pPr>
      <w:r>
        <w:rPr>
          <w:rFonts w:ascii="Arial" w:hAnsi="Arial" w:cs="Arial"/>
          <w:sz w:val="22"/>
          <w:szCs w:val="22"/>
        </w:rPr>
        <w:t>DIČ: CZ25680781</w:t>
      </w:r>
    </w:p>
    <w:p w:rsidR="001072BC" w:rsidRDefault="001072BC" w:rsidP="001072BC">
      <w:pPr>
        <w:jc w:val="both"/>
        <w:rPr>
          <w:rFonts w:ascii="Arial" w:hAnsi="Arial" w:cs="Arial"/>
          <w:sz w:val="22"/>
          <w:szCs w:val="22"/>
        </w:rPr>
      </w:pPr>
      <w:r>
        <w:rPr>
          <w:rFonts w:ascii="Arial" w:hAnsi="Arial" w:cs="Arial"/>
          <w:sz w:val="22"/>
          <w:szCs w:val="22"/>
        </w:rPr>
        <w:t>zastoupená: Ing. Petrem Bořánkem, jednatelem</w:t>
      </w:r>
    </w:p>
    <w:p w:rsidR="007747E7" w:rsidRPr="00D42B3D" w:rsidRDefault="007747E7" w:rsidP="001072BC">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sz w:val="22"/>
          <w:szCs w:val="22"/>
        </w:rPr>
        <w:t>)</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rsidR="00D50EE3" w:rsidRPr="00D42B3D" w:rsidRDefault="00D50EE3" w:rsidP="00D421F7">
      <w:pPr>
        <w:rPr>
          <w:rFonts w:ascii="Arial" w:hAnsi="Arial" w:cs="Arial"/>
          <w:b/>
          <w:smallCaps/>
          <w:sz w:val="22"/>
          <w:szCs w:val="22"/>
        </w:rPr>
      </w:pPr>
    </w:p>
    <w:p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rsidR="00180232" w:rsidRPr="001B1CE4" w:rsidRDefault="00180232" w:rsidP="00D421F7">
      <w:pPr>
        <w:jc w:val="center"/>
        <w:rPr>
          <w:rFonts w:ascii="Arial" w:hAnsi="Arial" w:cs="Arial"/>
          <w:b/>
          <w:sz w:val="22"/>
          <w:szCs w:val="22"/>
        </w:rPr>
      </w:pPr>
      <w:r w:rsidRPr="001B1CE4">
        <w:rPr>
          <w:rFonts w:ascii="Arial" w:hAnsi="Arial" w:cs="Arial"/>
          <w:b/>
          <w:sz w:val="22"/>
          <w:szCs w:val="22"/>
        </w:rPr>
        <w:t xml:space="preserve">(ET: </w:t>
      </w:r>
      <w:r w:rsidR="001B1CE4" w:rsidRPr="001B1CE4">
        <w:rPr>
          <w:rFonts w:ascii="Arial" w:eastAsia="Calibri" w:hAnsi="Arial" w:cs="Arial"/>
          <w:b/>
          <w:kern w:val="0"/>
          <w:sz w:val="22"/>
          <w:szCs w:val="22"/>
          <w:lang w:eastAsia="cs-CZ"/>
        </w:rPr>
        <w:t>T004/1</w:t>
      </w:r>
      <w:r w:rsidR="007F6797">
        <w:rPr>
          <w:rFonts w:ascii="Arial" w:eastAsia="Calibri" w:hAnsi="Arial" w:cs="Arial"/>
          <w:b/>
          <w:kern w:val="0"/>
          <w:sz w:val="22"/>
          <w:szCs w:val="22"/>
          <w:lang w:eastAsia="cs-CZ"/>
        </w:rPr>
        <w:t>7</w:t>
      </w:r>
      <w:r w:rsidR="001B1CE4" w:rsidRPr="001B1CE4">
        <w:rPr>
          <w:rFonts w:ascii="Arial" w:eastAsia="Calibri" w:hAnsi="Arial" w:cs="Arial"/>
          <w:b/>
          <w:kern w:val="0"/>
          <w:sz w:val="22"/>
          <w:szCs w:val="22"/>
          <w:lang w:eastAsia="cs-CZ"/>
        </w:rPr>
        <w:t>V/000</w:t>
      </w:r>
      <w:r w:rsidR="004B6E19">
        <w:rPr>
          <w:rFonts w:ascii="Arial" w:eastAsia="Calibri" w:hAnsi="Arial" w:cs="Arial"/>
          <w:b/>
          <w:kern w:val="0"/>
          <w:sz w:val="22"/>
          <w:szCs w:val="22"/>
          <w:lang w:eastAsia="cs-CZ"/>
        </w:rPr>
        <w:t>21030</w:t>
      </w:r>
      <w:r w:rsidRPr="001B1CE4">
        <w:rPr>
          <w:rFonts w:ascii="Arial" w:hAnsi="Arial" w:cs="Arial"/>
          <w:b/>
          <w:sz w:val="22"/>
          <w:szCs w:val="22"/>
        </w:rPr>
        <w:t>)</w:t>
      </w:r>
    </w:p>
    <w:p w:rsidR="00180232" w:rsidRPr="00D421F7" w:rsidRDefault="00180232" w:rsidP="00D421F7">
      <w:pPr>
        <w:jc w:val="center"/>
        <w:rPr>
          <w:rFonts w:ascii="Arial" w:hAnsi="Arial" w:cs="Arial"/>
          <w:b/>
          <w:sz w:val="26"/>
          <w:szCs w:val="26"/>
        </w:rPr>
      </w:pPr>
    </w:p>
    <w:p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rsidR="00D421F7" w:rsidRPr="00D42B3D" w:rsidRDefault="00D421F7" w:rsidP="00D421F7">
      <w:pPr>
        <w:jc w:val="center"/>
        <w:rPr>
          <w:rFonts w:ascii="Arial" w:hAnsi="Arial" w:cs="Arial"/>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D421F7" w:rsidRPr="00D421F7" w:rsidRDefault="00D421F7" w:rsidP="00D421F7">
      <w:pPr>
        <w:rPr>
          <w:rFonts w:ascii="Arial" w:hAnsi="Arial" w:cs="Arial"/>
          <w:b/>
          <w:sz w:val="22"/>
          <w:szCs w:val="22"/>
        </w:rPr>
      </w:pPr>
    </w:p>
    <w:p w:rsidR="00D50EE3" w:rsidRPr="00D42B3D" w:rsidRDefault="00D50EE3" w:rsidP="00C34CD3">
      <w:pPr>
        <w:jc w:val="both"/>
        <w:rPr>
          <w:rFonts w:ascii="Arial" w:hAnsi="Arial" w:cs="Arial"/>
          <w:sz w:val="22"/>
          <w:szCs w:val="22"/>
        </w:rPr>
      </w:pPr>
      <w:r w:rsidRPr="00D42B3D">
        <w:rPr>
          <w:rFonts w:ascii="Arial" w:hAnsi="Arial" w:cs="Arial"/>
          <w:sz w:val="22"/>
          <w:szCs w:val="22"/>
        </w:rPr>
        <w:t xml:space="preserve">Prodávající se zavazuje </w:t>
      </w:r>
      <w:r w:rsidR="004B6E19">
        <w:rPr>
          <w:rFonts w:ascii="Arial" w:hAnsi="Arial" w:cs="Arial"/>
          <w:sz w:val="22"/>
          <w:szCs w:val="22"/>
        </w:rPr>
        <w:t>dodat kupujícímu disky (včetně zprostře</w:t>
      </w:r>
      <w:r w:rsidR="002D3731">
        <w:rPr>
          <w:rFonts w:ascii="Arial" w:hAnsi="Arial" w:cs="Arial"/>
          <w:sz w:val="22"/>
          <w:szCs w:val="22"/>
        </w:rPr>
        <w:t xml:space="preserve">dkování podpory </w:t>
      </w:r>
      <w:r w:rsidR="006853A4">
        <w:rPr>
          <w:rFonts w:ascii="Arial" w:hAnsi="Arial" w:cs="Arial"/>
          <w:sz w:val="22"/>
          <w:szCs w:val="22"/>
        </w:rPr>
        <w:t>a poskytnutí licencí k užití tohoto zboží</w:t>
      </w:r>
      <w:r w:rsidR="004B6E19">
        <w:rPr>
          <w:rFonts w:ascii="Arial" w:hAnsi="Arial" w:cs="Arial"/>
          <w:sz w:val="22"/>
          <w:szCs w:val="22"/>
        </w:rPr>
        <w:t>)</w:t>
      </w:r>
      <w:r w:rsidR="006853A4">
        <w:rPr>
          <w:rFonts w:ascii="Arial" w:hAnsi="Arial" w:cs="Arial"/>
          <w:sz w:val="22"/>
          <w:szCs w:val="22"/>
        </w:rPr>
        <w:t xml:space="preserve"> dle níže uvedené specifikace </w:t>
      </w:r>
      <w:r w:rsidRPr="00D42B3D">
        <w:rPr>
          <w:rFonts w:ascii="Arial" w:hAnsi="Arial" w:cs="Arial"/>
          <w:sz w:val="22"/>
          <w:szCs w:val="22"/>
        </w:rPr>
        <w:t>(dále jen předmět koupě či zboží)</w:t>
      </w:r>
      <w:r w:rsidR="006853A4">
        <w:rPr>
          <w:rFonts w:ascii="Arial" w:hAnsi="Arial" w:cs="Arial"/>
          <w:sz w:val="22"/>
          <w:szCs w:val="22"/>
        </w:rPr>
        <w:t>,</w:t>
      </w:r>
      <w:r w:rsidRPr="00D42B3D">
        <w:rPr>
          <w:rFonts w:ascii="Arial" w:hAnsi="Arial" w:cs="Arial"/>
          <w:sz w:val="22"/>
          <w:szCs w:val="22"/>
        </w:rPr>
        <w:t xml:space="preserve"> převést na kupujícího vlastnické právo k předmětu koupě</w:t>
      </w:r>
      <w:r w:rsidR="00D57EA8">
        <w:rPr>
          <w:rFonts w:ascii="Arial" w:hAnsi="Arial" w:cs="Arial"/>
          <w:sz w:val="22"/>
          <w:szCs w:val="22"/>
        </w:rPr>
        <w:t xml:space="preserve">. </w:t>
      </w:r>
      <w:r w:rsidRPr="00D42B3D">
        <w:rPr>
          <w:rFonts w:ascii="Arial" w:hAnsi="Arial" w:cs="Arial"/>
          <w:sz w:val="22"/>
          <w:szCs w:val="22"/>
        </w:rPr>
        <w:t>Kupující se zavazuje uhradit prodávajícímu za předmět koupě sjednanou cenu.</w:t>
      </w:r>
    </w:p>
    <w:p w:rsidR="00D50EE3" w:rsidRDefault="00D50EE3" w:rsidP="00D421F7">
      <w:pPr>
        <w:jc w:val="both"/>
        <w:rPr>
          <w:rFonts w:ascii="Arial" w:hAnsi="Arial" w:cs="Arial"/>
          <w:sz w:val="22"/>
          <w:szCs w:val="22"/>
        </w:rPr>
      </w:pPr>
    </w:p>
    <w:p w:rsidR="006853A4" w:rsidRDefault="006853A4" w:rsidP="006853A4">
      <w:pPr>
        <w:spacing w:after="120"/>
        <w:rPr>
          <w:rFonts w:ascii="Arial" w:hAnsi="Arial" w:cs="Arial"/>
          <w:b/>
          <w:sz w:val="22"/>
        </w:rPr>
      </w:pPr>
      <w:r w:rsidRPr="001072BC">
        <w:rPr>
          <w:rFonts w:ascii="Arial" w:hAnsi="Arial" w:cs="Arial"/>
          <w:sz w:val="22"/>
          <w:szCs w:val="22"/>
        </w:rPr>
        <w:t>Specifikace předmětu koupě:</w:t>
      </w:r>
    </w:p>
    <w:tbl>
      <w:tblPr>
        <w:tblW w:w="8789"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253"/>
        <w:gridCol w:w="567"/>
        <w:gridCol w:w="708"/>
        <w:gridCol w:w="1134"/>
        <w:gridCol w:w="993"/>
        <w:gridCol w:w="1134"/>
      </w:tblGrid>
      <w:tr w:rsidR="00BE7710" w:rsidRPr="00B12D7E" w:rsidTr="001072BC">
        <w:trPr>
          <w:trHeight w:val="251"/>
        </w:trPr>
        <w:tc>
          <w:tcPr>
            <w:tcW w:w="4253" w:type="dxa"/>
          </w:tcPr>
          <w:p w:rsidR="00BE7710" w:rsidRPr="00B12D7E" w:rsidRDefault="00BE7710" w:rsidP="00AD7509">
            <w:pPr>
              <w:autoSpaceDE w:val="0"/>
              <w:autoSpaceDN w:val="0"/>
              <w:adjustRightInd w:val="0"/>
              <w:jc w:val="center"/>
              <w:rPr>
                <w:rFonts w:ascii="Arial" w:hAnsi="Arial" w:cs="Arial"/>
                <w:b/>
                <w:bCs/>
                <w:color w:val="000000"/>
                <w:sz w:val="20"/>
                <w:szCs w:val="20"/>
              </w:rPr>
            </w:pPr>
            <w:r w:rsidRPr="00B12D7E">
              <w:rPr>
                <w:rFonts w:ascii="Arial" w:hAnsi="Arial" w:cs="Arial"/>
                <w:b/>
                <w:bCs/>
                <w:color w:val="000000"/>
                <w:sz w:val="20"/>
                <w:szCs w:val="20"/>
              </w:rPr>
              <w:t>Označení</w:t>
            </w:r>
          </w:p>
        </w:tc>
        <w:tc>
          <w:tcPr>
            <w:tcW w:w="567" w:type="dxa"/>
          </w:tcPr>
          <w:p w:rsidR="00BE7710" w:rsidRPr="00B12D7E" w:rsidRDefault="00BE7710" w:rsidP="00AD7509">
            <w:pPr>
              <w:autoSpaceDE w:val="0"/>
              <w:autoSpaceDN w:val="0"/>
              <w:adjustRightInd w:val="0"/>
              <w:jc w:val="center"/>
              <w:rPr>
                <w:rFonts w:ascii="Arial" w:hAnsi="Arial" w:cs="Arial"/>
                <w:b/>
                <w:bCs/>
                <w:color w:val="000000"/>
                <w:sz w:val="20"/>
                <w:szCs w:val="20"/>
              </w:rPr>
            </w:pPr>
            <w:r w:rsidRPr="00B12D7E">
              <w:rPr>
                <w:rFonts w:ascii="Arial" w:hAnsi="Arial" w:cs="Arial"/>
                <w:b/>
                <w:bCs/>
                <w:color w:val="000000"/>
                <w:sz w:val="20"/>
                <w:szCs w:val="20"/>
              </w:rPr>
              <w:t>Záruka</w:t>
            </w:r>
          </w:p>
        </w:tc>
        <w:tc>
          <w:tcPr>
            <w:tcW w:w="708" w:type="dxa"/>
          </w:tcPr>
          <w:p w:rsidR="00BE7710" w:rsidRPr="00B12D7E" w:rsidRDefault="00BE7710" w:rsidP="00AD7509">
            <w:pPr>
              <w:autoSpaceDE w:val="0"/>
              <w:autoSpaceDN w:val="0"/>
              <w:adjustRightInd w:val="0"/>
              <w:jc w:val="center"/>
              <w:rPr>
                <w:rFonts w:ascii="Arial" w:hAnsi="Arial" w:cs="Arial"/>
                <w:b/>
                <w:bCs/>
                <w:color w:val="000000"/>
                <w:sz w:val="20"/>
                <w:szCs w:val="20"/>
              </w:rPr>
            </w:pPr>
            <w:r w:rsidRPr="00B12D7E">
              <w:rPr>
                <w:rFonts w:ascii="Arial" w:hAnsi="Arial" w:cs="Arial"/>
                <w:b/>
                <w:bCs/>
                <w:color w:val="000000"/>
                <w:sz w:val="20"/>
                <w:szCs w:val="20"/>
              </w:rPr>
              <w:t>Množství</w:t>
            </w:r>
          </w:p>
        </w:tc>
        <w:tc>
          <w:tcPr>
            <w:tcW w:w="1134" w:type="dxa"/>
          </w:tcPr>
          <w:p w:rsidR="00BE7710" w:rsidRPr="00B12D7E" w:rsidRDefault="00BE7710" w:rsidP="00AD7509">
            <w:pPr>
              <w:autoSpaceDE w:val="0"/>
              <w:autoSpaceDN w:val="0"/>
              <w:adjustRightInd w:val="0"/>
              <w:jc w:val="center"/>
              <w:rPr>
                <w:rFonts w:ascii="Arial" w:hAnsi="Arial" w:cs="Arial"/>
                <w:b/>
                <w:bCs/>
                <w:color w:val="000000"/>
                <w:sz w:val="20"/>
                <w:szCs w:val="20"/>
              </w:rPr>
            </w:pPr>
            <w:r w:rsidRPr="00B12D7E">
              <w:rPr>
                <w:rFonts w:ascii="Arial" w:hAnsi="Arial" w:cs="Arial"/>
                <w:b/>
                <w:bCs/>
                <w:color w:val="000000"/>
                <w:sz w:val="20"/>
                <w:szCs w:val="20"/>
              </w:rPr>
              <w:t>Celkem bez DPH</w:t>
            </w:r>
          </w:p>
        </w:tc>
        <w:tc>
          <w:tcPr>
            <w:tcW w:w="993" w:type="dxa"/>
          </w:tcPr>
          <w:p w:rsidR="00BE7710" w:rsidRPr="00B12D7E" w:rsidRDefault="00BE7710" w:rsidP="00AD7509">
            <w:pPr>
              <w:autoSpaceDE w:val="0"/>
              <w:autoSpaceDN w:val="0"/>
              <w:adjustRightInd w:val="0"/>
              <w:jc w:val="center"/>
              <w:rPr>
                <w:rFonts w:ascii="Arial" w:hAnsi="Arial" w:cs="Arial"/>
                <w:b/>
                <w:bCs/>
                <w:color w:val="000000"/>
                <w:sz w:val="20"/>
                <w:szCs w:val="20"/>
              </w:rPr>
            </w:pPr>
            <w:r w:rsidRPr="00B12D7E">
              <w:rPr>
                <w:rFonts w:ascii="Arial" w:hAnsi="Arial" w:cs="Arial"/>
                <w:b/>
                <w:bCs/>
                <w:color w:val="000000"/>
                <w:sz w:val="20"/>
                <w:szCs w:val="20"/>
              </w:rPr>
              <w:t>DPH 21 %</w:t>
            </w:r>
          </w:p>
        </w:tc>
        <w:tc>
          <w:tcPr>
            <w:tcW w:w="1134" w:type="dxa"/>
          </w:tcPr>
          <w:p w:rsidR="00BE7710" w:rsidRPr="00B12D7E" w:rsidRDefault="00BE7710" w:rsidP="00AD7509">
            <w:pPr>
              <w:autoSpaceDE w:val="0"/>
              <w:autoSpaceDN w:val="0"/>
              <w:adjustRightInd w:val="0"/>
              <w:jc w:val="center"/>
              <w:rPr>
                <w:rFonts w:ascii="Arial" w:hAnsi="Arial" w:cs="Arial"/>
                <w:b/>
                <w:bCs/>
                <w:color w:val="000000"/>
                <w:sz w:val="20"/>
                <w:szCs w:val="20"/>
              </w:rPr>
            </w:pPr>
            <w:r w:rsidRPr="00B12D7E">
              <w:rPr>
                <w:rFonts w:ascii="Arial" w:hAnsi="Arial" w:cs="Arial"/>
                <w:b/>
                <w:bCs/>
                <w:color w:val="000000"/>
                <w:sz w:val="20"/>
                <w:szCs w:val="20"/>
              </w:rPr>
              <w:t>Celkem vč. DPH</w:t>
            </w:r>
          </w:p>
        </w:tc>
      </w:tr>
      <w:tr w:rsidR="00ED59F3" w:rsidRPr="00B12D7E" w:rsidTr="001072BC">
        <w:trPr>
          <w:trHeight w:val="251"/>
        </w:trPr>
        <w:tc>
          <w:tcPr>
            <w:tcW w:w="4253" w:type="dxa"/>
            <w:vAlign w:val="bottom"/>
          </w:tcPr>
          <w:p w:rsidR="00ED59F3" w:rsidRDefault="004B6E19" w:rsidP="00ED59F3">
            <w:pPr>
              <w:rPr>
                <w:rFonts w:ascii="Calibri" w:hAnsi="Calibri"/>
                <w:color w:val="000000"/>
                <w:sz w:val="22"/>
                <w:szCs w:val="22"/>
              </w:rPr>
            </w:pPr>
            <w:r>
              <w:rPr>
                <w:rFonts w:ascii="Calibri" w:hAnsi="Calibri"/>
                <w:color w:val="000000"/>
                <w:sz w:val="22"/>
                <w:szCs w:val="22"/>
              </w:rPr>
              <w:t>Disk typ 1</w:t>
            </w:r>
            <w:r w:rsidR="001072BC">
              <w:rPr>
                <w:rFonts w:ascii="Calibri" w:hAnsi="Calibri"/>
                <w:color w:val="000000"/>
                <w:sz w:val="22"/>
                <w:szCs w:val="22"/>
              </w:rPr>
              <w:t xml:space="preserve"> - </w:t>
            </w:r>
            <w:r w:rsidR="001072BC" w:rsidRPr="001072BC">
              <w:rPr>
                <w:rFonts w:ascii="Calibri" w:hAnsi="Calibri"/>
                <w:color w:val="000000"/>
                <w:sz w:val="22"/>
                <w:szCs w:val="22"/>
              </w:rPr>
              <w:t>DX8090 S2 HD SAS 900G 10k 2.5 x1</w:t>
            </w:r>
          </w:p>
        </w:tc>
        <w:tc>
          <w:tcPr>
            <w:tcW w:w="567" w:type="dxa"/>
            <w:vAlign w:val="center"/>
          </w:tcPr>
          <w:p w:rsidR="00ED59F3" w:rsidRPr="00ED59F3" w:rsidRDefault="004B6E19" w:rsidP="00ED59F3">
            <w:pPr>
              <w:jc w:val="center"/>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708" w:type="dxa"/>
            <w:vAlign w:val="center"/>
          </w:tcPr>
          <w:p w:rsidR="00ED59F3" w:rsidRPr="00ED59F3" w:rsidRDefault="004B6E19" w:rsidP="00ED59F3">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134" w:type="dxa"/>
            <w:vAlign w:val="center"/>
          </w:tcPr>
          <w:p w:rsidR="00ED59F3" w:rsidRPr="00330A28" w:rsidRDefault="001072BC" w:rsidP="00330A28">
            <w:pPr>
              <w:jc w:val="center"/>
              <w:rPr>
                <w:rFonts w:asciiTheme="minorHAnsi" w:hAnsiTheme="minorHAnsi" w:cstheme="minorHAnsi"/>
                <w:color w:val="000000"/>
                <w:sz w:val="22"/>
                <w:szCs w:val="22"/>
              </w:rPr>
            </w:pPr>
            <w:r w:rsidRPr="00330A28">
              <w:rPr>
                <w:rFonts w:asciiTheme="minorHAnsi" w:hAnsiTheme="minorHAnsi" w:cstheme="minorHAnsi"/>
                <w:color w:val="000000"/>
                <w:sz w:val="22"/>
                <w:szCs w:val="22"/>
              </w:rPr>
              <w:t>1</w:t>
            </w:r>
            <w:r w:rsidR="00330A28" w:rsidRPr="00330A28">
              <w:rPr>
                <w:rFonts w:asciiTheme="minorHAnsi" w:hAnsiTheme="minorHAnsi" w:cstheme="minorHAnsi"/>
                <w:color w:val="000000"/>
                <w:sz w:val="22"/>
                <w:szCs w:val="22"/>
              </w:rPr>
              <w:t>08</w:t>
            </w:r>
            <w:r w:rsidRPr="00330A28">
              <w:rPr>
                <w:rFonts w:asciiTheme="minorHAnsi" w:hAnsiTheme="minorHAnsi" w:cstheme="minorHAnsi"/>
                <w:color w:val="000000"/>
                <w:sz w:val="22"/>
                <w:szCs w:val="22"/>
              </w:rPr>
              <w:t>.</w:t>
            </w:r>
            <w:r w:rsidR="00330A28" w:rsidRPr="00330A28">
              <w:rPr>
                <w:rFonts w:asciiTheme="minorHAnsi" w:hAnsiTheme="minorHAnsi" w:cstheme="minorHAnsi"/>
                <w:color w:val="000000"/>
                <w:sz w:val="22"/>
                <w:szCs w:val="22"/>
              </w:rPr>
              <w:t>85</w:t>
            </w:r>
            <w:r w:rsidRPr="00330A28">
              <w:rPr>
                <w:rFonts w:asciiTheme="minorHAnsi" w:hAnsiTheme="minorHAnsi" w:cstheme="minorHAnsi"/>
                <w:color w:val="000000"/>
                <w:sz w:val="22"/>
                <w:szCs w:val="22"/>
              </w:rPr>
              <w:t>0,00</w:t>
            </w:r>
          </w:p>
        </w:tc>
        <w:tc>
          <w:tcPr>
            <w:tcW w:w="993" w:type="dxa"/>
            <w:vAlign w:val="center"/>
          </w:tcPr>
          <w:p w:rsidR="00ED59F3" w:rsidRPr="00ED59F3" w:rsidRDefault="00330A28" w:rsidP="00ED59F3">
            <w:pPr>
              <w:suppressAutoHyphens w:val="0"/>
              <w:jc w:val="center"/>
              <w:rPr>
                <w:rFonts w:asciiTheme="minorHAnsi" w:hAnsiTheme="minorHAnsi" w:cstheme="minorHAnsi"/>
                <w:kern w:val="0"/>
                <w:sz w:val="22"/>
                <w:szCs w:val="22"/>
                <w:lang w:eastAsia="cs-CZ"/>
              </w:rPr>
            </w:pPr>
            <w:r>
              <w:rPr>
                <w:rFonts w:asciiTheme="minorHAnsi" w:hAnsiTheme="minorHAnsi" w:cstheme="minorHAnsi"/>
                <w:kern w:val="0"/>
                <w:sz w:val="22"/>
                <w:szCs w:val="22"/>
                <w:lang w:eastAsia="cs-CZ"/>
              </w:rPr>
              <w:t>22.858,50</w:t>
            </w:r>
          </w:p>
        </w:tc>
        <w:tc>
          <w:tcPr>
            <w:tcW w:w="1134" w:type="dxa"/>
            <w:vAlign w:val="center"/>
          </w:tcPr>
          <w:p w:rsidR="00ED59F3" w:rsidRPr="00ED59F3" w:rsidRDefault="00330A28" w:rsidP="00ED59F3">
            <w:pPr>
              <w:jc w:val="center"/>
              <w:rPr>
                <w:rFonts w:asciiTheme="minorHAnsi" w:hAnsiTheme="minorHAnsi" w:cstheme="minorHAnsi"/>
                <w:color w:val="000000"/>
                <w:sz w:val="22"/>
                <w:szCs w:val="22"/>
              </w:rPr>
            </w:pPr>
            <w:r>
              <w:rPr>
                <w:rFonts w:asciiTheme="minorHAnsi" w:hAnsiTheme="minorHAnsi" w:cstheme="minorHAnsi"/>
                <w:color w:val="000000"/>
                <w:sz w:val="22"/>
                <w:szCs w:val="22"/>
              </w:rPr>
              <w:t>131.708,50</w:t>
            </w:r>
          </w:p>
        </w:tc>
      </w:tr>
      <w:tr w:rsidR="004B6E19" w:rsidRPr="00B12D7E" w:rsidTr="001072BC">
        <w:trPr>
          <w:trHeight w:val="251"/>
        </w:trPr>
        <w:tc>
          <w:tcPr>
            <w:tcW w:w="4253" w:type="dxa"/>
            <w:vAlign w:val="bottom"/>
          </w:tcPr>
          <w:p w:rsidR="004B6E19" w:rsidRDefault="004B6E19" w:rsidP="00ED59F3">
            <w:pPr>
              <w:rPr>
                <w:rFonts w:ascii="Calibri" w:hAnsi="Calibri"/>
                <w:color w:val="000000"/>
                <w:sz w:val="22"/>
                <w:szCs w:val="22"/>
              </w:rPr>
            </w:pPr>
            <w:r>
              <w:rPr>
                <w:rFonts w:ascii="Calibri" w:hAnsi="Calibri"/>
                <w:color w:val="000000"/>
                <w:sz w:val="22"/>
                <w:szCs w:val="22"/>
              </w:rPr>
              <w:t>Disk typ 2</w:t>
            </w:r>
            <w:r w:rsidR="001072BC">
              <w:rPr>
                <w:rFonts w:ascii="Calibri" w:hAnsi="Calibri"/>
                <w:color w:val="000000"/>
                <w:sz w:val="22"/>
                <w:szCs w:val="22"/>
              </w:rPr>
              <w:t xml:space="preserve"> - </w:t>
            </w:r>
            <w:r w:rsidR="001072BC" w:rsidRPr="001072BC">
              <w:rPr>
                <w:rFonts w:ascii="Calibri" w:hAnsi="Calibri"/>
                <w:color w:val="000000"/>
                <w:sz w:val="22"/>
                <w:szCs w:val="22"/>
              </w:rPr>
              <w:t>DX60 S2 HD NLSAS 4TB 7.2k 3.5 x1</w:t>
            </w:r>
          </w:p>
        </w:tc>
        <w:tc>
          <w:tcPr>
            <w:tcW w:w="567" w:type="dxa"/>
            <w:vAlign w:val="center"/>
          </w:tcPr>
          <w:p w:rsidR="004B6E19" w:rsidRPr="00ED59F3" w:rsidRDefault="004B6E19" w:rsidP="00ED59F3">
            <w:pPr>
              <w:jc w:val="center"/>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708" w:type="dxa"/>
            <w:vAlign w:val="center"/>
          </w:tcPr>
          <w:p w:rsidR="004B6E19" w:rsidRPr="00ED59F3" w:rsidRDefault="004B6E19" w:rsidP="00ED59F3">
            <w:pPr>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1134" w:type="dxa"/>
            <w:vAlign w:val="center"/>
          </w:tcPr>
          <w:p w:rsidR="004B6E19" w:rsidRPr="00ED59F3" w:rsidRDefault="00330A28" w:rsidP="00ED59F3">
            <w:pPr>
              <w:jc w:val="center"/>
              <w:rPr>
                <w:rFonts w:asciiTheme="minorHAnsi" w:hAnsiTheme="minorHAnsi" w:cstheme="minorHAnsi"/>
                <w:color w:val="000000"/>
                <w:sz w:val="22"/>
                <w:szCs w:val="22"/>
              </w:rPr>
            </w:pPr>
            <w:r>
              <w:rPr>
                <w:rFonts w:asciiTheme="minorHAnsi" w:hAnsiTheme="minorHAnsi" w:cstheme="minorHAnsi"/>
                <w:color w:val="000000"/>
                <w:sz w:val="22"/>
                <w:szCs w:val="22"/>
              </w:rPr>
              <w:t>198.500,00</w:t>
            </w:r>
          </w:p>
        </w:tc>
        <w:tc>
          <w:tcPr>
            <w:tcW w:w="993" w:type="dxa"/>
            <w:vAlign w:val="center"/>
          </w:tcPr>
          <w:p w:rsidR="004B6E19" w:rsidRPr="00ED59F3" w:rsidRDefault="00330A28" w:rsidP="00ED59F3">
            <w:pPr>
              <w:suppressAutoHyphens w:val="0"/>
              <w:jc w:val="center"/>
              <w:rPr>
                <w:rFonts w:asciiTheme="minorHAnsi" w:hAnsiTheme="minorHAnsi" w:cstheme="minorHAnsi"/>
                <w:sz w:val="22"/>
                <w:szCs w:val="22"/>
              </w:rPr>
            </w:pPr>
            <w:r>
              <w:rPr>
                <w:rFonts w:asciiTheme="minorHAnsi" w:hAnsiTheme="minorHAnsi" w:cstheme="minorHAnsi"/>
                <w:sz w:val="22"/>
                <w:szCs w:val="22"/>
              </w:rPr>
              <w:t>41.685,00</w:t>
            </w:r>
          </w:p>
        </w:tc>
        <w:tc>
          <w:tcPr>
            <w:tcW w:w="1134" w:type="dxa"/>
            <w:vAlign w:val="center"/>
          </w:tcPr>
          <w:p w:rsidR="004B6E19" w:rsidRPr="00ED59F3" w:rsidRDefault="00330A28" w:rsidP="00ED59F3">
            <w:pPr>
              <w:jc w:val="center"/>
              <w:rPr>
                <w:rFonts w:asciiTheme="minorHAnsi" w:hAnsiTheme="minorHAnsi" w:cstheme="minorHAnsi"/>
                <w:color w:val="000000"/>
                <w:sz w:val="22"/>
                <w:szCs w:val="22"/>
              </w:rPr>
            </w:pPr>
            <w:r>
              <w:rPr>
                <w:rFonts w:asciiTheme="minorHAnsi" w:hAnsiTheme="minorHAnsi" w:cstheme="minorHAnsi"/>
                <w:color w:val="000000"/>
                <w:sz w:val="22"/>
                <w:szCs w:val="22"/>
              </w:rPr>
              <w:t>240.185,00</w:t>
            </w:r>
          </w:p>
        </w:tc>
      </w:tr>
      <w:tr w:rsidR="00BE7710" w:rsidRPr="00B12D7E" w:rsidTr="001072BC">
        <w:trPr>
          <w:trHeight w:val="251"/>
        </w:trPr>
        <w:tc>
          <w:tcPr>
            <w:tcW w:w="4253" w:type="dxa"/>
            <w:shd w:val="clear" w:color="auto" w:fill="auto"/>
          </w:tcPr>
          <w:p w:rsidR="00BE7710" w:rsidRPr="00ED59F3" w:rsidRDefault="00BE7710" w:rsidP="00BE7710">
            <w:pPr>
              <w:autoSpaceDE w:val="0"/>
              <w:autoSpaceDN w:val="0"/>
              <w:adjustRightInd w:val="0"/>
              <w:rPr>
                <w:rFonts w:ascii="Arial" w:hAnsi="Arial" w:cs="Arial"/>
                <w:b/>
                <w:color w:val="000000"/>
                <w:sz w:val="20"/>
                <w:szCs w:val="20"/>
              </w:rPr>
            </w:pPr>
            <w:r w:rsidRPr="00ED59F3">
              <w:rPr>
                <w:rFonts w:ascii="Arial" w:hAnsi="Arial" w:cs="Arial"/>
                <w:b/>
                <w:color w:val="000000"/>
                <w:sz w:val="20"/>
                <w:szCs w:val="20"/>
              </w:rPr>
              <w:t>Celkem</w:t>
            </w:r>
          </w:p>
        </w:tc>
        <w:tc>
          <w:tcPr>
            <w:tcW w:w="567" w:type="dxa"/>
            <w:shd w:val="clear" w:color="auto" w:fill="auto"/>
          </w:tcPr>
          <w:p w:rsidR="00BE7710" w:rsidRPr="00ED59F3" w:rsidRDefault="00BE7710" w:rsidP="00BE7710">
            <w:pPr>
              <w:autoSpaceDE w:val="0"/>
              <w:autoSpaceDN w:val="0"/>
              <w:adjustRightInd w:val="0"/>
              <w:jc w:val="center"/>
              <w:rPr>
                <w:rFonts w:ascii="Arial" w:hAnsi="Arial" w:cs="Arial"/>
                <w:b/>
                <w:color w:val="000000"/>
                <w:sz w:val="20"/>
                <w:szCs w:val="20"/>
              </w:rPr>
            </w:pPr>
          </w:p>
        </w:tc>
        <w:tc>
          <w:tcPr>
            <w:tcW w:w="708" w:type="dxa"/>
            <w:shd w:val="clear" w:color="auto" w:fill="auto"/>
          </w:tcPr>
          <w:p w:rsidR="00BE7710" w:rsidRPr="00ED59F3" w:rsidRDefault="00BE7710" w:rsidP="00BE7710">
            <w:pPr>
              <w:autoSpaceDE w:val="0"/>
              <w:autoSpaceDN w:val="0"/>
              <w:adjustRightInd w:val="0"/>
              <w:jc w:val="center"/>
              <w:rPr>
                <w:rFonts w:ascii="Arial" w:hAnsi="Arial" w:cs="Arial"/>
                <w:b/>
                <w:color w:val="000000"/>
                <w:sz w:val="20"/>
                <w:szCs w:val="20"/>
              </w:rPr>
            </w:pPr>
          </w:p>
        </w:tc>
        <w:tc>
          <w:tcPr>
            <w:tcW w:w="1134" w:type="dxa"/>
            <w:shd w:val="clear" w:color="auto" w:fill="auto"/>
            <w:vAlign w:val="bottom"/>
          </w:tcPr>
          <w:p w:rsidR="00BE7710" w:rsidRPr="00ED59F3" w:rsidRDefault="00330A28" w:rsidP="00ED59F3">
            <w:pPr>
              <w:suppressAutoHyphens w:val="0"/>
              <w:jc w:val="right"/>
              <w:rPr>
                <w:rFonts w:ascii="Calibri" w:hAnsi="Calibri"/>
                <w:b/>
                <w:bCs/>
                <w:color w:val="000000"/>
                <w:kern w:val="0"/>
                <w:sz w:val="22"/>
                <w:szCs w:val="22"/>
                <w:lang w:eastAsia="cs-CZ"/>
              </w:rPr>
            </w:pPr>
            <w:r>
              <w:rPr>
                <w:rFonts w:ascii="Calibri" w:hAnsi="Calibri"/>
                <w:b/>
                <w:bCs/>
                <w:color w:val="000000"/>
                <w:kern w:val="0"/>
                <w:sz w:val="22"/>
                <w:szCs w:val="22"/>
                <w:lang w:eastAsia="cs-CZ"/>
              </w:rPr>
              <w:t>307.350,00</w:t>
            </w:r>
          </w:p>
        </w:tc>
        <w:tc>
          <w:tcPr>
            <w:tcW w:w="993" w:type="dxa"/>
            <w:shd w:val="clear" w:color="auto" w:fill="auto"/>
            <w:vAlign w:val="bottom"/>
          </w:tcPr>
          <w:p w:rsidR="00BE7710" w:rsidRPr="00ED59F3" w:rsidRDefault="00330A28" w:rsidP="00ED59F3">
            <w:pPr>
              <w:jc w:val="right"/>
              <w:rPr>
                <w:rFonts w:ascii="Calibri" w:hAnsi="Calibri"/>
                <w:b/>
                <w:bCs/>
                <w:color w:val="000000"/>
                <w:sz w:val="22"/>
                <w:szCs w:val="22"/>
              </w:rPr>
            </w:pPr>
            <w:r>
              <w:rPr>
                <w:rFonts w:ascii="Calibri" w:hAnsi="Calibri"/>
                <w:b/>
                <w:bCs/>
                <w:color w:val="000000"/>
                <w:sz w:val="22"/>
                <w:szCs w:val="22"/>
              </w:rPr>
              <w:t>64.543,50</w:t>
            </w:r>
          </w:p>
        </w:tc>
        <w:tc>
          <w:tcPr>
            <w:tcW w:w="1134" w:type="dxa"/>
            <w:shd w:val="clear" w:color="auto" w:fill="auto"/>
            <w:vAlign w:val="bottom"/>
          </w:tcPr>
          <w:p w:rsidR="00BE7710" w:rsidRPr="00ED59F3" w:rsidRDefault="00330A28" w:rsidP="00ED59F3">
            <w:pPr>
              <w:jc w:val="right"/>
              <w:rPr>
                <w:rFonts w:ascii="Calibri" w:hAnsi="Calibri"/>
                <w:b/>
                <w:bCs/>
                <w:color w:val="000000"/>
                <w:sz w:val="22"/>
                <w:szCs w:val="22"/>
              </w:rPr>
            </w:pPr>
            <w:r>
              <w:rPr>
                <w:rFonts w:ascii="Calibri" w:hAnsi="Calibri"/>
                <w:b/>
                <w:bCs/>
                <w:color w:val="000000"/>
                <w:sz w:val="22"/>
                <w:szCs w:val="22"/>
              </w:rPr>
              <w:t>371.893,50</w:t>
            </w:r>
          </w:p>
        </w:tc>
      </w:tr>
    </w:tbl>
    <w:p w:rsidR="006853A4" w:rsidRDefault="006853A4" w:rsidP="006853A4">
      <w:pPr>
        <w:spacing w:after="120"/>
        <w:rPr>
          <w:rFonts w:ascii="Arial" w:hAnsi="Arial" w:cs="Arial"/>
          <w:b/>
          <w:sz w:val="22"/>
        </w:rPr>
      </w:pPr>
    </w:p>
    <w:p w:rsidR="005204AE" w:rsidRPr="005204AE" w:rsidRDefault="005204AE" w:rsidP="00C34CD3">
      <w:pPr>
        <w:spacing w:after="120"/>
        <w:jc w:val="both"/>
        <w:rPr>
          <w:rFonts w:ascii="Arial" w:hAnsi="Arial" w:cs="Arial"/>
          <w:b/>
          <w:sz w:val="22"/>
        </w:rPr>
      </w:pPr>
      <w:r>
        <w:rPr>
          <w:rFonts w:ascii="Arial" w:hAnsi="Arial" w:cs="Arial"/>
          <w:sz w:val="22"/>
        </w:rPr>
        <w:t>Prodávající prohlašuje, že je oprávněn zprostředkovat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zboží. Prodávající touto smlouvou zprostředkuje pro příjemce nevýhradní a nepřenosné oprávnění k výkonu práva 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rsidR="00D50EE3" w:rsidRPr="00D421F7" w:rsidRDefault="00D50EE3" w:rsidP="00D421F7">
      <w:pPr>
        <w:suppressAutoHyphens w:val="0"/>
        <w:autoSpaceDE w:val="0"/>
        <w:autoSpaceDN w:val="0"/>
        <w:adjustRightInd w:val="0"/>
        <w:rPr>
          <w:rFonts w:ascii="Arial" w:hAnsi="Arial" w:cs="Arial"/>
          <w:b/>
          <w:sz w:val="22"/>
          <w:szCs w:val="22"/>
        </w:rPr>
      </w:pPr>
    </w:p>
    <w:p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rsidR="005204AE" w:rsidRPr="00330A28" w:rsidRDefault="00ED59F3" w:rsidP="005204AE">
      <w:pPr>
        <w:ind w:left="360" w:firstLine="349"/>
        <w:jc w:val="both"/>
        <w:rPr>
          <w:rFonts w:ascii="Arial" w:hAnsi="Arial" w:cs="Arial"/>
          <w:b/>
          <w:sz w:val="22"/>
          <w:szCs w:val="22"/>
        </w:rPr>
      </w:pPr>
      <w:r w:rsidRPr="00330A28">
        <w:rPr>
          <w:rFonts w:ascii="Arial" w:hAnsi="Arial" w:cs="Arial"/>
          <w:b/>
          <w:sz w:val="22"/>
        </w:rPr>
        <w:t>Celkem bez DPH</w:t>
      </w:r>
      <w:r w:rsidRPr="00330A28">
        <w:rPr>
          <w:rFonts w:ascii="Arial" w:hAnsi="Arial" w:cs="Arial"/>
          <w:b/>
          <w:sz w:val="22"/>
        </w:rPr>
        <w:tab/>
      </w:r>
      <w:r w:rsidRPr="00330A28">
        <w:rPr>
          <w:rFonts w:ascii="Arial" w:hAnsi="Arial" w:cs="Arial"/>
          <w:b/>
          <w:sz w:val="22"/>
        </w:rPr>
        <w:tab/>
      </w:r>
      <w:r w:rsidR="00330A28" w:rsidRPr="00330A28">
        <w:rPr>
          <w:rFonts w:ascii="Arial" w:hAnsi="Arial" w:cs="Arial"/>
          <w:b/>
          <w:sz w:val="22"/>
        </w:rPr>
        <w:t>307</w:t>
      </w:r>
      <w:r w:rsidR="001072BC" w:rsidRPr="00330A28">
        <w:rPr>
          <w:rFonts w:ascii="Arial" w:hAnsi="Arial" w:cs="Arial"/>
          <w:b/>
          <w:sz w:val="22"/>
        </w:rPr>
        <w:t>.3</w:t>
      </w:r>
      <w:r w:rsidR="00330A28" w:rsidRPr="00330A28">
        <w:rPr>
          <w:rFonts w:ascii="Arial" w:hAnsi="Arial" w:cs="Arial"/>
          <w:b/>
          <w:sz w:val="22"/>
        </w:rPr>
        <w:t>5</w:t>
      </w:r>
      <w:r w:rsidR="001072BC" w:rsidRPr="00330A28">
        <w:rPr>
          <w:rFonts w:ascii="Arial" w:hAnsi="Arial" w:cs="Arial"/>
          <w:b/>
          <w:sz w:val="22"/>
        </w:rPr>
        <w:t>0</w:t>
      </w:r>
      <w:r w:rsidR="005204AE" w:rsidRPr="00330A28">
        <w:rPr>
          <w:rFonts w:ascii="Arial" w:hAnsi="Arial" w:cs="Arial"/>
          <w:b/>
          <w:sz w:val="22"/>
        </w:rPr>
        <w:t xml:space="preserve">,00 Kč </w:t>
      </w:r>
    </w:p>
    <w:p w:rsidR="005204AE" w:rsidRPr="00330A28" w:rsidRDefault="005204AE" w:rsidP="005204AE">
      <w:pPr>
        <w:ind w:left="360"/>
        <w:jc w:val="both"/>
        <w:rPr>
          <w:rFonts w:ascii="Arial" w:hAnsi="Arial" w:cs="Arial"/>
          <w:b/>
          <w:bCs/>
          <w:sz w:val="20"/>
          <w:szCs w:val="20"/>
        </w:rPr>
      </w:pPr>
      <w:r w:rsidRPr="00330A28">
        <w:rPr>
          <w:rFonts w:ascii="Arial" w:hAnsi="Arial" w:cs="Arial"/>
          <w:b/>
          <w:sz w:val="22"/>
          <w:szCs w:val="22"/>
        </w:rPr>
        <w:tab/>
        <w:t>DPH 21%</w:t>
      </w:r>
      <w:r w:rsidRPr="00330A28">
        <w:rPr>
          <w:rFonts w:ascii="Arial" w:hAnsi="Arial" w:cs="Arial"/>
          <w:b/>
          <w:sz w:val="22"/>
          <w:szCs w:val="22"/>
        </w:rPr>
        <w:tab/>
      </w:r>
      <w:r w:rsidRPr="00330A28">
        <w:rPr>
          <w:rFonts w:ascii="Arial" w:hAnsi="Arial" w:cs="Arial"/>
          <w:b/>
          <w:sz w:val="22"/>
          <w:szCs w:val="22"/>
        </w:rPr>
        <w:tab/>
      </w:r>
      <w:r w:rsidRPr="00330A28">
        <w:rPr>
          <w:rFonts w:ascii="Arial" w:hAnsi="Arial" w:cs="Arial"/>
          <w:b/>
          <w:sz w:val="22"/>
          <w:szCs w:val="22"/>
        </w:rPr>
        <w:tab/>
      </w:r>
      <w:r w:rsidR="00330A28" w:rsidRPr="00330A28">
        <w:rPr>
          <w:rFonts w:ascii="Arial" w:hAnsi="Arial" w:cs="Arial"/>
          <w:b/>
          <w:sz w:val="22"/>
          <w:szCs w:val="22"/>
        </w:rPr>
        <w:t xml:space="preserve">  64.543</w:t>
      </w:r>
      <w:r w:rsidRPr="00330A28">
        <w:rPr>
          <w:rFonts w:ascii="Arial" w:hAnsi="Arial" w:cs="Arial"/>
          <w:b/>
          <w:sz w:val="22"/>
          <w:szCs w:val="22"/>
        </w:rPr>
        <w:t>,</w:t>
      </w:r>
      <w:r w:rsidR="00330A28" w:rsidRPr="00330A28">
        <w:rPr>
          <w:rFonts w:ascii="Arial" w:hAnsi="Arial" w:cs="Arial"/>
          <w:b/>
          <w:sz w:val="22"/>
          <w:szCs w:val="22"/>
        </w:rPr>
        <w:t>5</w:t>
      </w:r>
      <w:r w:rsidR="001B1252" w:rsidRPr="00330A28">
        <w:rPr>
          <w:rFonts w:ascii="Arial" w:hAnsi="Arial" w:cs="Arial"/>
          <w:b/>
          <w:sz w:val="22"/>
          <w:szCs w:val="22"/>
        </w:rPr>
        <w:t>0</w:t>
      </w:r>
      <w:r w:rsidRPr="00330A28">
        <w:rPr>
          <w:rFonts w:ascii="Arial" w:hAnsi="Arial" w:cs="Arial"/>
          <w:b/>
          <w:sz w:val="22"/>
          <w:szCs w:val="22"/>
        </w:rPr>
        <w:t xml:space="preserve"> Kč</w:t>
      </w:r>
    </w:p>
    <w:p w:rsidR="005204AE" w:rsidRPr="005204AE" w:rsidRDefault="005204AE" w:rsidP="005204AE">
      <w:pPr>
        <w:ind w:left="360"/>
        <w:jc w:val="both"/>
        <w:rPr>
          <w:rFonts w:ascii="Arial" w:hAnsi="Arial" w:cs="Arial"/>
          <w:b/>
          <w:bCs/>
          <w:sz w:val="22"/>
          <w:szCs w:val="22"/>
        </w:rPr>
      </w:pPr>
      <w:r w:rsidRPr="00330A28">
        <w:rPr>
          <w:rFonts w:ascii="Arial" w:hAnsi="Arial" w:cs="Arial"/>
          <w:b/>
          <w:sz w:val="22"/>
          <w:szCs w:val="22"/>
        </w:rPr>
        <w:tab/>
        <w:t>Cena celkem vč. DPH</w:t>
      </w:r>
      <w:r w:rsidRPr="00330A28">
        <w:rPr>
          <w:rFonts w:ascii="Arial" w:hAnsi="Arial" w:cs="Arial"/>
          <w:b/>
          <w:sz w:val="22"/>
          <w:szCs w:val="22"/>
        </w:rPr>
        <w:tab/>
      </w:r>
      <w:r w:rsidR="00330A28" w:rsidRPr="00330A28">
        <w:rPr>
          <w:rFonts w:ascii="Arial" w:hAnsi="Arial" w:cs="Arial"/>
          <w:b/>
          <w:sz w:val="22"/>
          <w:szCs w:val="22"/>
        </w:rPr>
        <w:t>371.893</w:t>
      </w:r>
      <w:r w:rsidRPr="00330A28">
        <w:rPr>
          <w:rFonts w:ascii="Arial" w:hAnsi="Arial" w:cs="Arial"/>
          <w:b/>
          <w:sz w:val="22"/>
          <w:szCs w:val="22"/>
        </w:rPr>
        <w:t>,</w:t>
      </w:r>
      <w:r w:rsidR="00330A28" w:rsidRPr="00330A28">
        <w:rPr>
          <w:rFonts w:ascii="Arial" w:hAnsi="Arial" w:cs="Arial"/>
          <w:b/>
          <w:sz w:val="22"/>
          <w:szCs w:val="22"/>
        </w:rPr>
        <w:t>5</w:t>
      </w:r>
      <w:r w:rsidR="001B1252" w:rsidRPr="00330A28">
        <w:rPr>
          <w:rFonts w:ascii="Arial" w:hAnsi="Arial" w:cs="Arial"/>
          <w:b/>
          <w:sz w:val="22"/>
          <w:szCs w:val="22"/>
        </w:rPr>
        <w:t>0</w:t>
      </w:r>
      <w:r w:rsidRPr="00330A28">
        <w:rPr>
          <w:rFonts w:ascii="Arial" w:hAnsi="Arial" w:cs="Arial"/>
          <w:b/>
          <w:sz w:val="22"/>
          <w:szCs w:val="22"/>
        </w:rPr>
        <w:t xml:space="preserve"> Kč</w:t>
      </w:r>
    </w:p>
    <w:p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rsidR="00D421F7" w:rsidRPr="00D421F7" w:rsidRDefault="00D421F7" w:rsidP="00D421F7">
      <w:pPr>
        <w:rPr>
          <w:rFonts w:ascii="Arial" w:hAnsi="Arial" w:cs="Arial"/>
          <w:b/>
          <w:sz w:val="22"/>
          <w:szCs w:val="22"/>
        </w:rPr>
      </w:pPr>
    </w:p>
    <w:p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4B6E19">
        <w:rPr>
          <w:rFonts w:ascii="Arial" w:hAnsi="Arial" w:cs="Arial"/>
          <w:color w:val="000000"/>
          <w:sz w:val="22"/>
          <w:szCs w:val="22"/>
        </w:rPr>
        <w:t>3 týdnů</w:t>
      </w:r>
      <w:r w:rsidR="004B7CB2" w:rsidRPr="00C34CD3">
        <w:rPr>
          <w:rFonts w:ascii="Arial" w:hAnsi="Arial" w:cs="Arial"/>
          <w:color w:val="000000"/>
          <w:sz w:val="22"/>
          <w:szCs w:val="22"/>
        </w:rPr>
        <w:t xml:space="preserve"> od podpisu této kupní smlouvy smluvními stranami</w:t>
      </w:r>
      <w:r w:rsidRPr="00C34CD3">
        <w:rPr>
          <w:rFonts w:ascii="Arial" w:hAnsi="Arial" w:cs="Arial"/>
          <w:color w:val="000000"/>
          <w:sz w:val="22"/>
          <w:szCs w:val="22"/>
        </w:rPr>
        <w:t>.</w:t>
      </w:r>
    </w:p>
    <w:p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rsidR="00E862D1" w:rsidRDefault="004B7CB2" w:rsidP="00B72564">
      <w:pPr>
        <w:numPr>
          <w:ilvl w:val="1"/>
          <w:numId w:val="17"/>
        </w:numPr>
        <w:tabs>
          <w:tab w:val="left" w:pos="360"/>
          <w:tab w:val="center" w:pos="4536"/>
          <w:tab w:val="right" w:pos="9072"/>
        </w:tabs>
        <w:ind w:left="0" w:firstLine="0"/>
        <w:jc w:val="both"/>
        <w:rPr>
          <w:rFonts w:ascii="Arial" w:hAnsi="Arial" w:cs="Arial"/>
          <w:color w:val="000000"/>
          <w:sz w:val="22"/>
          <w:szCs w:val="22"/>
        </w:rPr>
      </w:pPr>
      <w:r w:rsidRPr="00E862D1">
        <w:rPr>
          <w:rFonts w:ascii="Arial" w:hAnsi="Arial" w:cs="Arial"/>
          <w:color w:val="000000"/>
          <w:sz w:val="22"/>
          <w:szCs w:val="22"/>
        </w:rPr>
        <w:t xml:space="preserve">Předmět koupě je oprávněn převzít za ND p. </w:t>
      </w:r>
    </w:p>
    <w:p w:rsidR="004B7CB2" w:rsidRPr="00E862D1" w:rsidRDefault="00D50EE3" w:rsidP="00B72564">
      <w:pPr>
        <w:numPr>
          <w:ilvl w:val="1"/>
          <w:numId w:val="17"/>
        </w:numPr>
        <w:tabs>
          <w:tab w:val="left" w:pos="360"/>
          <w:tab w:val="center" w:pos="4536"/>
          <w:tab w:val="right" w:pos="9072"/>
        </w:tabs>
        <w:ind w:left="0" w:firstLine="0"/>
        <w:jc w:val="both"/>
        <w:rPr>
          <w:rFonts w:ascii="Arial" w:hAnsi="Arial" w:cs="Arial"/>
          <w:color w:val="000000"/>
          <w:sz w:val="22"/>
          <w:szCs w:val="22"/>
        </w:rPr>
      </w:pPr>
      <w:bookmarkStart w:id="0" w:name="_GoBack"/>
      <w:bookmarkEnd w:id="0"/>
      <w:r w:rsidRPr="00E862D1">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E862D1">
        <w:rPr>
          <w:rFonts w:ascii="Arial" w:hAnsi="Arial" w:cs="Arial"/>
          <w:color w:val="000000"/>
          <w:sz w:val="22"/>
          <w:szCs w:val="22"/>
        </w:rPr>
        <w:t>Součástí dokumentace, kterou se prodávající zavazuje předat kupujícímu spolu se zbožím, jsou licenční oprávnění od výrobce softwaru.</w:t>
      </w:r>
    </w:p>
    <w:p w:rsidR="00D421F7" w:rsidRDefault="00D421F7" w:rsidP="00D421F7">
      <w:pPr>
        <w:tabs>
          <w:tab w:val="left" w:pos="357"/>
          <w:tab w:val="center" w:pos="4536"/>
          <w:tab w:val="right" w:pos="9072"/>
        </w:tabs>
        <w:jc w:val="center"/>
        <w:rPr>
          <w:rFonts w:ascii="Arial" w:hAnsi="Arial" w:cs="Arial"/>
          <w:b/>
          <w:sz w:val="22"/>
          <w:szCs w:val="22"/>
        </w:rPr>
      </w:pPr>
    </w:p>
    <w:p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rsidR="00D421F7" w:rsidRPr="00D421F7" w:rsidRDefault="00D421F7" w:rsidP="00D421F7">
      <w:pPr>
        <w:tabs>
          <w:tab w:val="left" w:pos="357"/>
          <w:tab w:val="center" w:pos="4536"/>
          <w:tab w:val="right" w:pos="9072"/>
        </w:tabs>
        <w:rPr>
          <w:rFonts w:ascii="Arial" w:hAnsi="Arial" w:cs="Arial"/>
          <w:b/>
          <w:sz w:val="22"/>
          <w:szCs w:val="22"/>
        </w:rPr>
      </w:pPr>
    </w:p>
    <w:p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w:t>
      </w:r>
      <w:r w:rsidR="00254A73">
        <w:rPr>
          <w:rFonts w:ascii="Arial" w:hAnsi="Arial" w:cs="Arial"/>
          <w:color w:val="000000"/>
          <w:sz w:val="22"/>
          <w:szCs w:val="22"/>
        </w:rPr>
        <w:t>12</w:t>
      </w:r>
      <w:r>
        <w:rPr>
          <w:rFonts w:ascii="Arial" w:hAnsi="Arial" w:cs="Arial"/>
          <w:color w:val="000000"/>
          <w:sz w:val="22"/>
          <w:szCs w:val="22"/>
        </w:rPr>
        <w:t xml:space="preserve"> měsíců. </w:t>
      </w:r>
      <w:r w:rsidR="004B6E19" w:rsidRPr="00D42B3D">
        <w:rPr>
          <w:rFonts w:ascii="Arial" w:hAnsi="Arial" w:cs="Arial"/>
          <w:color w:val="000000"/>
          <w:sz w:val="22"/>
          <w:szCs w:val="22"/>
        </w:rPr>
        <w:t xml:space="preserve">Prodávající poskytuje záruku za jakost zboží v trvání </w:t>
      </w:r>
      <w:r w:rsidR="004B6E19">
        <w:rPr>
          <w:rFonts w:ascii="Arial" w:hAnsi="Arial" w:cs="Arial"/>
          <w:color w:val="000000"/>
          <w:sz w:val="22"/>
          <w:szCs w:val="22"/>
        </w:rPr>
        <w:t xml:space="preserve">uvedenou u jednotlivých zařízení </w:t>
      </w:r>
      <w:r w:rsidR="004B6E19">
        <w:rPr>
          <w:rFonts w:ascii="Arial" w:hAnsi="Arial" w:cs="Arial"/>
          <w:sz w:val="22"/>
          <w:szCs w:val="22"/>
        </w:rPr>
        <w:t>(dle čl. II. této smlouvy)</w:t>
      </w:r>
      <w:r w:rsidR="004B6E19" w:rsidRPr="00D42B3D">
        <w:rPr>
          <w:rFonts w:ascii="Arial" w:hAnsi="Arial" w:cs="Arial"/>
          <w:color w:val="000000"/>
          <w:sz w:val="22"/>
          <w:szCs w:val="22"/>
        </w:rPr>
        <w:t>, počínaje dnem následujícím po dni předání zboží kupujícímu.</w:t>
      </w:r>
    </w:p>
    <w:p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 Smluvní pokuty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NOZ.</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rsidR="00D421F7" w:rsidRPr="00D421F7" w:rsidRDefault="00D421F7" w:rsidP="00D421F7">
      <w:pPr>
        <w:rPr>
          <w:rFonts w:ascii="Arial" w:hAnsi="Arial" w:cs="Arial"/>
          <w:b/>
          <w:sz w:val="22"/>
          <w:szCs w:val="22"/>
        </w:rPr>
      </w:pP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Tato smlouva nabývá platnosti a účinnosti dnem jejího podpisu oběma smluvními stranami.</w:t>
      </w:r>
    </w:p>
    <w:p w:rsidR="00D50EE3" w:rsidRPr="00D42B3D" w:rsidRDefault="00D50EE3" w:rsidP="00D421F7">
      <w:pPr>
        <w:tabs>
          <w:tab w:val="left" w:pos="4680"/>
        </w:tabs>
        <w:jc w:val="both"/>
        <w:rPr>
          <w:rFonts w:ascii="Arial" w:hAnsi="Arial" w:cs="Arial"/>
          <w:sz w:val="22"/>
          <w:szCs w:val="22"/>
        </w:rPr>
      </w:pPr>
    </w:p>
    <w:p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FF4C83">
        <w:rPr>
          <w:rFonts w:ascii="Arial" w:hAnsi="Arial" w:cs="Arial"/>
          <w:sz w:val="22"/>
          <w:szCs w:val="22"/>
        </w:rPr>
        <w:t xml:space="preserve"> Praze </w:t>
      </w:r>
      <w:r w:rsidRPr="00D42B3D">
        <w:rPr>
          <w:rFonts w:ascii="Arial" w:hAnsi="Arial" w:cs="Arial"/>
          <w:sz w:val="22"/>
          <w:szCs w:val="22"/>
        </w:rPr>
        <w:t>dne</w:t>
      </w:r>
      <w:r w:rsidR="00FF4C83">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rsidR="00D50EE3" w:rsidRPr="00D42B3D" w:rsidRDefault="00D50EE3" w:rsidP="00D421F7">
      <w:pPr>
        <w:rPr>
          <w:rFonts w:ascii="Arial" w:hAnsi="Arial" w:cs="Arial"/>
          <w:sz w:val="22"/>
          <w:szCs w:val="22"/>
        </w:rPr>
      </w:pPr>
    </w:p>
    <w:p w:rsidR="00C34CD3" w:rsidRDefault="00C34CD3" w:rsidP="00D421F7">
      <w:pPr>
        <w:rPr>
          <w:rFonts w:ascii="Arial" w:hAnsi="Arial" w:cs="Arial"/>
          <w:sz w:val="22"/>
          <w:szCs w:val="22"/>
        </w:rPr>
      </w:pPr>
    </w:p>
    <w:p w:rsidR="0067698A" w:rsidRDefault="0067698A"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8F7C79" w:rsidTr="00C34CD3">
        <w:trPr>
          <w:trHeight w:val="586"/>
        </w:trPr>
        <w:tc>
          <w:tcPr>
            <w:tcW w:w="4680" w:type="dxa"/>
          </w:tcPr>
          <w:p w:rsidR="008F7C79" w:rsidRDefault="008F7C79" w:rsidP="00AD7509">
            <w:pPr>
              <w:ind w:right="-70"/>
              <w:jc w:val="center"/>
              <w:rPr>
                <w:rFonts w:ascii="Arial" w:hAnsi="Arial" w:cs="Arial"/>
                <w:sz w:val="22"/>
                <w:szCs w:val="22"/>
              </w:rPr>
            </w:pPr>
            <w:r>
              <w:rPr>
                <w:rFonts w:ascii="Arial" w:hAnsi="Arial" w:cs="Arial"/>
                <w:sz w:val="22"/>
                <w:szCs w:val="22"/>
              </w:rPr>
              <w:t>………………………………….</w:t>
            </w:r>
          </w:p>
          <w:p w:rsidR="001072BC" w:rsidRDefault="001072BC" w:rsidP="001072BC">
            <w:pPr>
              <w:ind w:right="-70"/>
              <w:jc w:val="center"/>
              <w:rPr>
                <w:rFonts w:ascii="Arial" w:hAnsi="Arial" w:cs="Arial"/>
                <w:kern w:val="0"/>
                <w:sz w:val="22"/>
                <w:szCs w:val="22"/>
                <w:lang w:eastAsia="cs-CZ"/>
              </w:rPr>
            </w:pPr>
            <w:r>
              <w:rPr>
                <w:rFonts w:ascii="Arial" w:hAnsi="Arial" w:cs="Arial"/>
                <w:sz w:val="22"/>
                <w:szCs w:val="22"/>
              </w:rPr>
              <w:t>DC Computers s.r.o.</w:t>
            </w:r>
          </w:p>
          <w:p w:rsidR="001072BC" w:rsidRDefault="001072BC" w:rsidP="001072BC">
            <w:pPr>
              <w:ind w:right="-70"/>
              <w:jc w:val="center"/>
              <w:rPr>
                <w:rFonts w:ascii="Arial" w:hAnsi="Arial" w:cs="Arial"/>
                <w:sz w:val="22"/>
                <w:szCs w:val="22"/>
              </w:rPr>
            </w:pPr>
            <w:r>
              <w:rPr>
                <w:rFonts w:ascii="Arial" w:hAnsi="Arial" w:cs="Arial"/>
                <w:sz w:val="22"/>
                <w:szCs w:val="22"/>
              </w:rPr>
              <w:t>Ing. Petr Bořánek</w:t>
            </w:r>
          </w:p>
          <w:p w:rsidR="008F7C79" w:rsidRDefault="001072BC" w:rsidP="001072BC">
            <w:pPr>
              <w:ind w:right="-70"/>
              <w:jc w:val="center"/>
              <w:rPr>
                <w:rFonts w:ascii="Arial" w:hAnsi="Arial" w:cs="Arial"/>
                <w:sz w:val="22"/>
                <w:szCs w:val="22"/>
              </w:rPr>
            </w:pPr>
            <w:r>
              <w:rPr>
                <w:rFonts w:ascii="Arial" w:hAnsi="Arial" w:cs="Arial"/>
                <w:sz w:val="22"/>
                <w:szCs w:val="22"/>
              </w:rPr>
              <w:t>jednatel</w:t>
            </w:r>
          </w:p>
        </w:tc>
        <w:tc>
          <w:tcPr>
            <w:tcW w:w="4680" w:type="dxa"/>
          </w:tcPr>
          <w:p w:rsidR="008F7C79" w:rsidRDefault="008F7C79" w:rsidP="00AD7509">
            <w:pPr>
              <w:ind w:left="-68"/>
              <w:jc w:val="center"/>
              <w:rPr>
                <w:rFonts w:ascii="Arial" w:hAnsi="Arial" w:cs="Arial"/>
                <w:sz w:val="22"/>
                <w:szCs w:val="22"/>
              </w:rPr>
            </w:pPr>
            <w:r>
              <w:rPr>
                <w:rFonts w:ascii="Arial" w:hAnsi="Arial" w:cs="Arial"/>
                <w:sz w:val="22"/>
                <w:szCs w:val="22"/>
              </w:rPr>
              <w:t>………………………………….</w:t>
            </w:r>
          </w:p>
          <w:p w:rsidR="008F7C79" w:rsidRDefault="008F7C79" w:rsidP="00AD7509">
            <w:pPr>
              <w:ind w:right="-70"/>
              <w:jc w:val="center"/>
              <w:rPr>
                <w:rFonts w:ascii="Arial" w:hAnsi="Arial" w:cs="Arial"/>
                <w:sz w:val="22"/>
                <w:szCs w:val="22"/>
              </w:rPr>
            </w:pPr>
            <w:r>
              <w:rPr>
                <w:rFonts w:ascii="Arial" w:hAnsi="Arial" w:cs="Arial"/>
                <w:b/>
                <w:bCs/>
                <w:sz w:val="22"/>
              </w:rPr>
              <w:t xml:space="preserve"> </w:t>
            </w:r>
            <w:r>
              <w:rPr>
                <w:rFonts w:ascii="Arial" w:hAnsi="Arial" w:cs="Arial"/>
                <w:sz w:val="22"/>
                <w:szCs w:val="22"/>
              </w:rPr>
              <w:t>Národní divadlo</w:t>
            </w:r>
          </w:p>
          <w:p w:rsidR="008F7C79" w:rsidRDefault="004B6E19" w:rsidP="00AD7509">
            <w:pPr>
              <w:ind w:right="-70"/>
              <w:jc w:val="center"/>
              <w:rPr>
                <w:rFonts w:ascii="Arial" w:hAnsi="Arial" w:cs="Arial"/>
                <w:sz w:val="22"/>
                <w:szCs w:val="22"/>
              </w:rPr>
            </w:pPr>
            <w:r>
              <w:rPr>
                <w:rFonts w:ascii="Arial" w:hAnsi="Arial" w:cs="Arial"/>
                <w:sz w:val="22"/>
                <w:szCs w:val="22"/>
              </w:rPr>
              <w:t>prof. MgA. Jan Burian</w:t>
            </w:r>
          </w:p>
          <w:p w:rsidR="008F7C79" w:rsidRDefault="0084498D" w:rsidP="004B6E19">
            <w:pPr>
              <w:ind w:left="-70"/>
              <w:jc w:val="center"/>
              <w:rPr>
                <w:rFonts w:ascii="Arial" w:hAnsi="Arial" w:cs="Arial"/>
                <w:sz w:val="22"/>
                <w:szCs w:val="22"/>
              </w:rPr>
            </w:pPr>
            <w:r>
              <w:rPr>
                <w:rFonts w:ascii="Arial" w:hAnsi="Arial" w:cs="Arial"/>
                <w:sz w:val="22"/>
                <w:szCs w:val="22"/>
              </w:rPr>
              <w:t>ř</w:t>
            </w:r>
            <w:r w:rsidR="004B6E19">
              <w:rPr>
                <w:rFonts w:ascii="Arial" w:hAnsi="Arial" w:cs="Arial"/>
                <w:sz w:val="22"/>
                <w:szCs w:val="22"/>
              </w:rPr>
              <w:t>editel</w:t>
            </w:r>
          </w:p>
        </w:tc>
      </w:tr>
    </w:tbl>
    <w:p w:rsidR="008F7C79" w:rsidRPr="00D42B3D" w:rsidRDefault="008F7C79" w:rsidP="00330A28">
      <w:pPr>
        <w:rPr>
          <w:rFonts w:ascii="Arial" w:hAnsi="Arial" w:cs="Arial"/>
          <w:sz w:val="22"/>
          <w:szCs w:val="22"/>
        </w:rPr>
      </w:pPr>
    </w:p>
    <w:sectPr w:rsidR="008F7C79" w:rsidRPr="00D42B3D" w:rsidSect="00C34CD3">
      <w:pgSz w:w="11906" w:h="16838" w:code="9"/>
      <w:pgMar w:top="1418"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A89" w:rsidRDefault="00C80A89" w:rsidP="005B1606">
      <w:r>
        <w:separator/>
      </w:r>
    </w:p>
  </w:endnote>
  <w:endnote w:type="continuationSeparator" w:id="0">
    <w:p w:rsidR="00C80A89" w:rsidRDefault="00C80A89"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A89" w:rsidRDefault="00C80A89" w:rsidP="005B1606">
      <w:r>
        <w:separator/>
      </w:r>
    </w:p>
  </w:footnote>
  <w:footnote w:type="continuationSeparator" w:id="0">
    <w:p w:rsidR="00C80A89" w:rsidRDefault="00C80A89"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1438D"/>
    <w:rsid w:val="00061AC5"/>
    <w:rsid w:val="000646BF"/>
    <w:rsid w:val="0008264C"/>
    <w:rsid w:val="000A47FC"/>
    <w:rsid w:val="000B3014"/>
    <w:rsid w:val="000E227A"/>
    <w:rsid w:val="001072BC"/>
    <w:rsid w:val="001731F3"/>
    <w:rsid w:val="00173B24"/>
    <w:rsid w:val="00180232"/>
    <w:rsid w:val="001A00F9"/>
    <w:rsid w:val="001B1252"/>
    <w:rsid w:val="001B1BD2"/>
    <w:rsid w:val="001B1CE4"/>
    <w:rsid w:val="001D2958"/>
    <w:rsid w:val="001D78C0"/>
    <w:rsid w:val="00230D2B"/>
    <w:rsid w:val="00254A73"/>
    <w:rsid w:val="00280227"/>
    <w:rsid w:val="00293253"/>
    <w:rsid w:val="002B1566"/>
    <w:rsid w:val="002D3731"/>
    <w:rsid w:val="002E0DA7"/>
    <w:rsid w:val="002E6FA1"/>
    <w:rsid w:val="002F1C74"/>
    <w:rsid w:val="00303793"/>
    <w:rsid w:val="00306D81"/>
    <w:rsid w:val="0031190D"/>
    <w:rsid w:val="00330A28"/>
    <w:rsid w:val="00332623"/>
    <w:rsid w:val="00345103"/>
    <w:rsid w:val="00382DA2"/>
    <w:rsid w:val="003A6A00"/>
    <w:rsid w:val="003B3634"/>
    <w:rsid w:val="003B538B"/>
    <w:rsid w:val="003C7561"/>
    <w:rsid w:val="00437B78"/>
    <w:rsid w:val="0044748D"/>
    <w:rsid w:val="00452A92"/>
    <w:rsid w:val="00473F2E"/>
    <w:rsid w:val="00475662"/>
    <w:rsid w:val="0047796E"/>
    <w:rsid w:val="004B4B11"/>
    <w:rsid w:val="004B6E19"/>
    <w:rsid w:val="004B7CB2"/>
    <w:rsid w:val="005204AE"/>
    <w:rsid w:val="00530C05"/>
    <w:rsid w:val="005670A2"/>
    <w:rsid w:val="00591D54"/>
    <w:rsid w:val="005B1606"/>
    <w:rsid w:val="005B4713"/>
    <w:rsid w:val="005B55F3"/>
    <w:rsid w:val="00673340"/>
    <w:rsid w:val="0067698A"/>
    <w:rsid w:val="006853A4"/>
    <w:rsid w:val="006B1600"/>
    <w:rsid w:val="006C16A7"/>
    <w:rsid w:val="006C26BF"/>
    <w:rsid w:val="007034FC"/>
    <w:rsid w:val="00714CEF"/>
    <w:rsid w:val="0072008A"/>
    <w:rsid w:val="007620E1"/>
    <w:rsid w:val="007747E7"/>
    <w:rsid w:val="00783E7B"/>
    <w:rsid w:val="007A200A"/>
    <w:rsid w:val="007B1592"/>
    <w:rsid w:val="007D3BC0"/>
    <w:rsid w:val="007F6797"/>
    <w:rsid w:val="0084498D"/>
    <w:rsid w:val="00854EF8"/>
    <w:rsid w:val="00866A70"/>
    <w:rsid w:val="008A77B5"/>
    <w:rsid w:val="008C4D53"/>
    <w:rsid w:val="008D02A7"/>
    <w:rsid w:val="008F7C79"/>
    <w:rsid w:val="00933BCE"/>
    <w:rsid w:val="00936221"/>
    <w:rsid w:val="00940BFD"/>
    <w:rsid w:val="0095440C"/>
    <w:rsid w:val="009808B8"/>
    <w:rsid w:val="00984F42"/>
    <w:rsid w:val="009A3ECC"/>
    <w:rsid w:val="009A76BA"/>
    <w:rsid w:val="00A40B40"/>
    <w:rsid w:val="00A44B26"/>
    <w:rsid w:val="00A87F06"/>
    <w:rsid w:val="00AA2E98"/>
    <w:rsid w:val="00AA5CCC"/>
    <w:rsid w:val="00AA63A7"/>
    <w:rsid w:val="00AB6A10"/>
    <w:rsid w:val="00AB725B"/>
    <w:rsid w:val="00B03A08"/>
    <w:rsid w:val="00B12D7E"/>
    <w:rsid w:val="00B263D9"/>
    <w:rsid w:val="00B3039C"/>
    <w:rsid w:val="00B32A9B"/>
    <w:rsid w:val="00B43535"/>
    <w:rsid w:val="00B7543F"/>
    <w:rsid w:val="00B80249"/>
    <w:rsid w:val="00B819D2"/>
    <w:rsid w:val="00B95FFB"/>
    <w:rsid w:val="00BA1659"/>
    <w:rsid w:val="00BD3E5E"/>
    <w:rsid w:val="00BD4E39"/>
    <w:rsid w:val="00BE7710"/>
    <w:rsid w:val="00C15929"/>
    <w:rsid w:val="00C23D55"/>
    <w:rsid w:val="00C34CD3"/>
    <w:rsid w:val="00C36E77"/>
    <w:rsid w:val="00C62D60"/>
    <w:rsid w:val="00C638CA"/>
    <w:rsid w:val="00C80A89"/>
    <w:rsid w:val="00C862B9"/>
    <w:rsid w:val="00C91120"/>
    <w:rsid w:val="00C97D5C"/>
    <w:rsid w:val="00CA0C32"/>
    <w:rsid w:val="00CA2B93"/>
    <w:rsid w:val="00CD2E9C"/>
    <w:rsid w:val="00CD78AB"/>
    <w:rsid w:val="00CF0A1E"/>
    <w:rsid w:val="00D10286"/>
    <w:rsid w:val="00D1107E"/>
    <w:rsid w:val="00D421F7"/>
    <w:rsid w:val="00D42B3D"/>
    <w:rsid w:val="00D50EE3"/>
    <w:rsid w:val="00D57EA8"/>
    <w:rsid w:val="00D62E70"/>
    <w:rsid w:val="00D76CE7"/>
    <w:rsid w:val="00D77646"/>
    <w:rsid w:val="00D8145C"/>
    <w:rsid w:val="00D94C78"/>
    <w:rsid w:val="00DA42E2"/>
    <w:rsid w:val="00DA5618"/>
    <w:rsid w:val="00DB10FA"/>
    <w:rsid w:val="00E112EC"/>
    <w:rsid w:val="00E401F7"/>
    <w:rsid w:val="00E45DAD"/>
    <w:rsid w:val="00E51D9B"/>
    <w:rsid w:val="00E5592C"/>
    <w:rsid w:val="00E71151"/>
    <w:rsid w:val="00E85A45"/>
    <w:rsid w:val="00E862D1"/>
    <w:rsid w:val="00E91ADA"/>
    <w:rsid w:val="00EC2079"/>
    <w:rsid w:val="00ED59F3"/>
    <w:rsid w:val="00EF229E"/>
    <w:rsid w:val="00F04967"/>
    <w:rsid w:val="00F22195"/>
    <w:rsid w:val="00F409C0"/>
    <w:rsid w:val="00F422A6"/>
    <w:rsid w:val="00F457A7"/>
    <w:rsid w:val="00F5147F"/>
    <w:rsid w:val="00F60595"/>
    <w:rsid w:val="00F61F22"/>
    <w:rsid w:val="00F75F6D"/>
    <w:rsid w:val="00FB69A9"/>
    <w:rsid w:val="00FB6ACE"/>
    <w:rsid w:val="00FF4C83"/>
    <w:rsid w:val="00FF75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AED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07059">
      <w:bodyDiv w:val="1"/>
      <w:marLeft w:val="0"/>
      <w:marRight w:val="0"/>
      <w:marTop w:val="0"/>
      <w:marBottom w:val="0"/>
      <w:divBdr>
        <w:top w:val="none" w:sz="0" w:space="0" w:color="auto"/>
        <w:left w:val="none" w:sz="0" w:space="0" w:color="auto"/>
        <w:bottom w:val="none" w:sz="0" w:space="0" w:color="auto"/>
        <w:right w:val="none" w:sz="0" w:space="0" w:color="auto"/>
      </w:divBdr>
    </w:div>
    <w:div w:id="1548295486">
      <w:bodyDiv w:val="1"/>
      <w:marLeft w:val="0"/>
      <w:marRight w:val="0"/>
      <w:marTop w:val="0"/>
      <w:marBottom w:val="0"/>
      <w:divBdr>
        <w:top w:val="none" w:sz="0" w:space="0" w:color="auto"/>
        <w:left w:val="none" w:sz="0" w:space="0" w:color="auto"/>
        <w:bottom w:val="none" w:sz="0" w:space="0" w:color="auto"/>
        <w:right w:val="none" w:sz="0" w:space="0" w:color="auto"/>
      </w:divBdr>
    </w:div>
    <w:div w:id="20686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6291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2017-07-10T15:35:00Z</dcterms:created>
  <dcterms:modified xsi:type="dcterms:W3CDTF">2017-07-10T15:35:00Z</dcterms:modified>
</cp:coreProperties>
</file>