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- 206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991924033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21.06.2024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- 12. vlna  (červenec - srpen 2024), na základě uzavřené Rámcové dohody o realizaci veřejné</w:t>
      </w:r>
    </w:p>
    <w:p>
      <w:pPr>
        <w:pStyle w:val="Row8"/>
      </w:pPr>
      <w:r>
        <w:tab/>
      </w:r>
      <w:r>
        <w:rPr>
          <w:rStyle w:val="Text3"/>
        </w:rPr>
        <w:t xml:space="preserve">zakázky č. UKRUK/275627/2023. Návrh dotazníku a harmonogramu je uveden v příloze.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154 000.00</w:t>
      </w:r>
      <w:r>
        <w:tab/>
      </w:r>
      <w:r>
        <w:rPr>
          <w:rStyle w:val="Text3"/>
        </w:rPr>
        <w:t xml:space="preserve">32 340.00</w:t>
      </w:r>
      <w:r>
        <w:tab/>
      </w:r>
      <w:r>
        <w:rPr>
          <w:rStyle w:val="Text3"/>
        </w:rPr>
        <w:t xml:space="preserve">186 340.00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186 340.00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1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1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23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2pt;margin-top:3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9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991924033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2024-06-21T08:24:03Z</dcterms:created>
  <dcterms:modified xsi:type="dcterms:W3CDTF">2024-06-21T08:24:03Z</dcterms:modified>
  <cp:category/>
</cp:coreProperties>
</file>