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29D8625" w:rsidR="002708D3" w:rsidRPr="00C6612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6612A">
        <w:rPr>
          <w:rFonts w:ascii="Arial" w:hAnsi="Arial" w:cs="Arial"/>
          <w:sz w:val="22"/>
          <w:szCs w:val="22"/>
        </w:rPr>
        <w:t xml:space="preserve">Č.j.: </w:t>
      </w:r>
      <w:r w:rsidR="009D1E40" w:rsidRPr="009D1E40">
        <w:rPr>
          <w:rFonts w:ascii="Arial" w:hAnsi="Arial" w:cs="Arial"/>
          <w:sz w:val="22"/>
          <w:szCs w:val="22"/>
        </w:rPr>
        <w:t>SPU 240960/2024/33/</w:t>
      </w:r>
      <w:proofErr w:type="spellStart"/>
      <w:r w:rsidR="009D1E40" w:rsidRPr="009D1E40">
        <w:rPr>
          <w:rFonts w:ascii="Arial" w:hAnsi="Arial" w:cs="Arial"/>
          <w:sz w:val="22"/>
          <w:szCs w:val="22"/>
        </w:rPr>
        <w:t>Schn</w:t>
      </w:r>
      <w:proofErr w:type="spellEnd"/>
    </w:p>
    <w:p w14:paraId="237CBBF2" w14:textId="68DD9F6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C6612A">
        <w:rPr>
          <w:rFonts w:ascii="Arial" w:hAnsi="Arial" w:cs="Arial"/>
          <w:sz w:val="22"/>
          <w:szCs w:val="22"/>
        </w:rPr>
        <w:tab/>
        <w:t>UID</w:t>
      </w:r>
      <w:r w:rsidR="009D1E40">
        <w:rPr>
          <w:rFonts w:ascii="Arial" w:hAnsi="Arial" w:cs="Arial"/>
          <w:sz w:val="22"/>
          <w:szCs w:val="22"/>
        </w:rPr>
        <w:t xml:space="preserve">: </w:t>
      </w:r>
      <w:r w:rsidR="009D1E40" w:rsidRPr="009D1E40">
        <w:rPr>
          <w:rFonts w:ascii="Arial" w:hAnsi="Arial" w:cs="Arial"/>
          <w:sz w:val="22"/>
          <w:szCs w:val="22"/>
        </w:rPr>
        <w:t>spuess920bad46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D6D4CA2" w14:textId="7CBCAEA9" w:rsidR="006332AA" w:rsidRDefault="00A13A82" w:rsidP="006332AA">
      <w:pPr>
        <w:rPr>
          <w:rFonts w:ascii="Arial" w:hAnsi="Arial" w:cs="Arial"/>
          <w:i/>
          <w:iCs/>
          <w:u w:val="single"/>
        </w:rPr>
      </w:pPr>
      <w:r w:rsidRPr="00C6612A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MARTEX SKN, spol. s r.o.</w:t>
      </w:r>
      <w:r w:rsidR="0067751D" w:rsidRPr="00C6612A">
        <w:rPr>
          <w:rFonts w:ascii="Arial" w:hAnsi="Arial" w:cs="Arial"/>
          <w:b/>
          <w:bCs/>
          <w:sz w:val="28"/>
          <w:szCs w:val="28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C6612A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Přídolí 129, Český Krumlov, 38101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C6612A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49062549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CZ49062549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332AA">
        <w:rPr>
          <w:rFonts w:ascii="Arial" w:hAnsi="Arial" w:cs="Arial"/>
        </w:rPr>
        <w:t>zapsána v obchodním rejstříku vedeném Krajským soudem v Č. Budějovicích, oddíl C, vložka 3369</w:t>
      </w:r>
    </w:p>
    <w:p w14:paraId="0521A996" w14:textId="0D1E8452" w:rsidR="006332AA" w:rsidRDefault="006332AA" w:rsidP="006332AA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za právnickou osobu Ing </w:t>
      </w:r>
      <w:r w:rsidR="009966BB">
        <w:rPr>
          <w:rFonts w:ascii="Arial" w:hAnsi="Arial" w:cs="Arial"/>
          <w:sz w:val="20"/>
          <w:szCs w:val="20"/>
        </w:rPr>
        <w:t xml:space="preserve">Václav Perník, </w:t>
      </w:r>
      <w:proofErr w:type="gramStart"/>
      <w:r w:rsidR="009966BB">
        <w:rPr>
          <w:rFonts w:ascii="Arial" w:hAnsi="Arial" w:cs="Arial"/>
          <w:sz w:val="20"/>
          <w:szCs w:val="20"/>
        </w:rPr>
        <w:t>ing.</w:t>
      </w:r>
      <w:proofErr w:type="gramEnd"/>
      <w:r w:rsidR="009966BB">
        <w:rPr>
          <w:rFonts w:ascii="Arial" w:hAnsi="Arial" w:cs="Arial"/>
          <w:sz w:val="20"/>
          <w:szCs w:val="20"/>
        </w:rPr>
        <w:t xml:space="preserve"> Iva Perníková</w:t>
      </w:r>
      <w:r>
        <w:rPr>
          <w:rFonts w:ascii="Arial" w:hAnsi="Arial" w:cs="Arial"/>
          <w:sz w:val="20"/>
          <w:szCs w:val="20"/>
        </w:rPr>
        <w:t>-jednatelé</w:t>
      </w:r>
    </w:p>
    <w:p w14:paraId="52E0BB37" w14:textId="3DABA1FD" w:rsidR="00A36D26" w:rsidRPr="0057740E" w:rsidRDefault="0067751D" w:rsidP="0057740E">
      <w:r w:rsidRPr="00C6612A">
        <w:rPr>
          <w:rFonts w:ascii="Arial" w:hAnsi="Arial" w:cs="Arial"/>
        </w:rPr>
        <w:t xml:space="preserve">bankovní spojení:  </w:t>
      </w:r>
      <w:r w:rsidRPr="00C6612A">
        <w:rPr>
          <w:rFonts w:ascii="Arial" w:hAnsi="Arial" w:cs="Arial"/>
        </w:rPr>
        <w:br/>
        <w:t xml:space="preserve">číslo účtu: </w:t>
      </w:r>
      <w:r w:rsidRPr="00C6612A">
        <w:rPr>
          <w:rFonts w:ascii="Arial" w:hAnsi="Arial" w:cs="Arial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38N24/33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7D3C884" w14:textId="77777777" w:rsidR="008A3C38" w:rsidRDefault="00A36D26" w:rsidP="008A3C3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="008A3C38">
        <w:rPr>
          <w:rFonts w:ascii="Arial" w:hAnsi="Arial" w:cs="Arial"/>
          <w:iCs/>
          <w:sz w:val="22"/>
          <w:szCs w:val="22"/>
        </w:rPr>
        <w:t>u </w:t>
      </w:r>
      <w:r w:rsidR="008A3C38">
        <w:rPr>
          <w:rFonts w:ascii="Arial" w:hAnsi="Arial" w:cs="Arial"/>
          <w:sz w:val="22"/>
          <w:szCs w:val="22"/>
        </w:rPr>
        <w:t>Katastrálního úřadu pro Jihočeský kraj Katastrální pracoviště Český Krumlov.</w:t>
      </w:r>
    </w:p>
    <w:p w14:paraId="32C03D35" w14:textId="77777777" w:rsidR="008A3C38" w:rsidRDefault="008A3C38" w:rsidP="008A3C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je nedílnou součástí této smlouvy. Převod části z PS 48N15/33 a PS 114N18/33.  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57A78197" w14:textId="77777777" w:rsidR="0057740E" w:rsidRPr="006E561D" w:rsidRDefault="0057740E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13768324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  <w:r w:rsidR="0057740E">
        <w:rPr>
          <w:rFonts w:ascii="Arial" w:hAnsi="Arial" w:cs="Arial"/>
          <w:sz w:val="22"/>
          <w:szCs w:val="22"/>
        </w:rPr>
        <w:t xml:space="preserve"> 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2E07C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5906D0">
        <w:rPr>
          <w:rFonts w:ascii="Arial" w:hAnsi="Arial" w:cs="Arial"/>
          <w:iCs/>
          <w:sz w:val="22"/>
          <w:szCs w:val="22"/>
        </w:rPr>
        <w:t>hospodařit na něm způsobem</w:t>
      </w:r>
      <w:r w:rsidR="00AF39CE" w:rsidRPr="002E07CB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AF39CE" w:rsidRPr="002E07CB">
        <w:rPr>
          <w:rFonts w:ascii="Arial" w:hAnsi="Arial" w:cs="Arial"/>
          <w:iCs/>
          <w:sz w:val="22"/>
          <w:szCs w:val="22"/>
        </w:rPr>
        <w:t xml:space="preserve">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591B8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91B8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91B8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91B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1B8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591B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91B8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591B89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591B89">
        <w:rPr>
          <w:rFonts w:ascii="Arial" w:hAnsi="Arial" w:cs="Arial"/>
          <w:iCs/>
          <w:sz w:val="22"/>
          <w:szCs w:val="22"/>
        </w:rPr>
        <w:t xml:space="preserve"> v</w:t>
      </w:r>
      <w:r w:rsidR="00561A83" w:rsidRPr="00591B89">
        <w:rPr>
          <w:rFonts w:ascii="Arial" w:hAnsi="Arial" w:cs="Arial"/>
          <w:sz w:val="22"/>
          <w:szCs w:val="22"/>
        </w:rPr>
        <w:t>stupem na pozem</w:t>
      </w:r>
      <w:r w:rsidRPr="00591B89">
        <w:rPr>
          <w:rFonts w:ascii="Arial" w:hAnsi="Arial" w:cs="Arial"/>
          <w:sz w:val="22"/>
          <w:szCs w:val="22"/>
        </w:rPr>
        <w:t>k</w:t>
      </w:r>
      <w:r w:rsidR="00561A83" w:rsidRPr="00591B89">
        <w:rPr>
          <w:rFonts w:ascii="Arial" w:hAnsi="Arial" w:cs="Arial"/>
          <w:sz w:val="22"/>
          <w:szCs w:val="22"/>
        </w:rPr>
        <w:t>y</w:t>
      </w:r>
      <w:r w:rsidRPr="00591B8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91B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91B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91B89">
        <w:rPr>
          <w:rFonts w:ascii="Arial" w:hAnsi="Arial" w:cs="Arial"/>
          <w:sz w:val="22"/>
          <w:szCs w:val="22"/>
        </w:rPr>
        <w:t xml:space="preserve">e) </w:t>
      </w:r>
      <w:r w:rsidRPr="00591B89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591B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966B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66B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DC4C5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C4C5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C4C53">
        <w:rPr>
          <w:rFonts w:ascii="Arial" w:hAnsi="Arial" w:cs="Arial"/>
          <w:sz w:val="22"/>
          <w:szCs w:val="22"/>
        </w:rPr>
        <w:t>dání trvalých porostů na pozemcích</w:t>
      </w:r>
      <w:r w:rsidRPr="00DC4C53">
        <w:rPr>
          <w:rFonts w:ascii="Arial" w:hAnsi="Arial" w:cs="Arial"/>
          <w:sz w:val="22"/>
          <w:szCs w:val="22"/>
        </w:rPr>
        <w:t xml:space="preserve"> nebo př</w:t>
      </w:r>
      <w:r w:rsidR="000E1E95" w:rsidRPr="00DC4C53">
        <w:rPr>
          <w:rFonts w:ascii="Arial" w:hAnsi="Arial" w:cs="Arial"/>
          <w:sz w:val="22"/>
          <w:szCs w:val="22"/>
        </w:rPr>
        <w:t>i provádění změny druhu pozemku</w:t>
      </w:r>
      <w:r w:rsidR="006D4291" w:rsidRPr="00DC4C5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C4C5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C4C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4C53">
        <w:rPr>
          <w:rFonts w:ascii="Arial" w:hAnsi="Arial" w:cs="Arial"/>
          <w:sz w:val="22"/>
          <w:szCs w:val="22"/>
        </w:rPr>
        <w:t>h) trpět věcná břemena, resp</w:t>
      </w:r>
      <w:r w:rsidR="00561A83" w:rsidRPr="00DC4C53">
        <w:rPr>
          <w:rFonts w:ascii="Arial" w:hAnsi="Arial" w:cs="Arial"/>
          <w:sz w:val="22"/>
          <w:szCs w:val="22"/>
        </w:rPr>
        <w:t>. služebnosti spojené s pozemky, jež jsou</w:t>
      </w:r>
      <w:r w:rsidRPr="00DC4C5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C4C5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C4C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4C5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C4C53">
        <w:rPr>
          <w:rFonts w:ascii="Arial" w:hAnsi="Arial" w:cs="Arial"/>
          <w:sz w:val="22"/>
          <w:szCs w:val="22"/>
        </w:rPr>
        <w:t>nemovitých věcí za propachtované pozem</w:t>
      </w:r>
      <w:r w:rsidRPr="00DC4C53">
        <w:rPr>
          <w:rFonts w:ascii="Arial" w:hAnsi="Arial" w:cs="Arial"/>
          <w:sz w:val="22"/>
          <w:szCs w:val="22"/>
        </w:rPr>
        <w:t>k</w:t>
      </w:r>
      <w:r w:rsidR="00561A83" w:rsidRPr="00DC4C53">
        <w:rPr>
          <w:rFonts w:ascii="Arial" w:hAnsi="Arial" w:cs="Arial"/>
          <w:sz w:val="22"/>
          <w:szCs w:val="22"/>
        </w:rPr>
        <w:t>y</w:t>
      </w:r>
      <w:r w:rsidRPr="00DC4C5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bookmarkEnd w:id="0"/>
    <w:p w14:paraId="5D98D9BE" w14:textId="77777777" w:rsidR="00AF39CE" w:rsidRPr="005F2C48" w:rsidRDefault="00AF39CE" w:rsidP="00AD4C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AD4C60">
        <w:rPr>
          <w:rFonts w:ascii="Arial" w:hAnsi="Arial" w:cs="Arial"/>
          <w:b/>
          <w:bCs/>
          <w:sz w:val="22"/>
          <w:szCs w:val="22"/>
        </w:rPr>
        <w:t>od 01.08.2024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2B21C35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202</w:t>
      </w:r>
      <w:r w:rsidR="00AD4C6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845</w:t>
      </w:r>
      <w:r w:rsidR="00AD4C60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dva tisíce osm set čtyřicet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C6009D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33</w:t>
      </w:r>
      <w:r w:rsidR="00AD4C6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807</w:t>
      </w:r>
      <w:r w:rsidR="00AD4C60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tři tisíce osm set sedm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3812433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3812433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263F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FB263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B263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E7B9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DE7B9D">
        <w:rPr>
          <w:rFonts w:ascii="Arial" w:hAnsi="Arial" w:cs="Arial"/>
          <w:sz w:val="22"/>
          <w:szCs w:val="22"/>
        </w:rPr>
        <w:t>ům</w:t>
      </w:r>
      <w:r w:rsidRPr="00DE7B9D">
        <w:rPr>
          <w:rFonts w:ascii="Arial" w:hAnsi="Arial" w:cs="Arial"/>
          <w:i/>
          <w:sz w:val="22"/>
          <w:szCs w:val="22"/>
        </w:rPr>
        <w:t>,</w:t>
      </w:r>
      <w:r w:rsidR="00D65B28" w:rsidRPr="00DE7B9D">
        <w:rPr>
          <w:rFonts w:ascii="Arial" w:hAnsi="Arial" w:cs="Arial"/>
          <w:sz w:val="22"/>
          <w:szCs w:val="22"/>
        </w:rPr>
        <w:t xml:space="preserve"> které jsou</w:t>
      </w:r>
      <w:r w:rsidRPr="00DE7B9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47BB613B" w14:textId="415D95A5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5578A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E42B50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85C803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="00E5578A">
        <w:rPr>
          <w:rFonts w:ascii="Arial" w:hAnsi="Arial" w:cs="Arial"/>
          <w:sz w:val="22"/>
          <w:szCs w:val="22"/>
        </w:rPr>
        <w:t>v</w:t>
      </w:r>
      <w:proofErr w:type="gramEnd"/>
      <w:r w:rsidR="00E5578A">
        <w:rPr>
          <w:rFonts w:ascii="Arial" w:hAnsi="Arial" w:cs="Arial"/>
          <w:sz w:val="22"/>
          <w:szCs w:val="22"/>
        </w:rPr>
        <w:t xml:space="preserve">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5578A" w:rsidRPr="00E5578A">
        <w:rPr>
          <w:rFonts w:ascii="Arial" w:hAnsi="Arial" w:cs="Arial"/>
          <w:sz w:val="22"/>
          <w:szCs w:val="22"/>
        </w:rPr>
        <w:t xml:space="preserve">Jeden </w:t>
      </w:r>
      <w:r w:rsidRPr="00E5578A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026CDF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E5578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E5578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E5578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E5578A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E5578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578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1878D" w14:textId="77777777" w:rsidR="00C72334" w:rsidRDefault="00C7233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9B380A" w14:textId="77777777" w:rsidR="00C72334" w:rsidRDefault="00C7233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22C198D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DB823DA" w14:textId="77777777" w:rsidR="00C72334" w:rsidRDefault="00C72334" w:rsidP="00AF39CE">
      <w:pPr>
        <w:jc w:val="both"/>
        <w:rPr>
          <w:rFonts w:ascii="Arial" w:hAnsi="Arial" w:cs="Arial"/>
          <w:sz w:val="22"/>
          <w:szCs w:val="22"/>
        </w:rPr>
      </w:pPr>
    </w:p>
    <w:p w14:paraId="2DC91916" w14:textId="77777777" w:rsidR="00C72334" w:rsidRDefault="00C72334" w:rsidP="00AF39CE">
      <w:pPr>
        <w:jc w:val="both"/>
        <w:rPr>
          <w:rFonts w:ascii="Arial" w:hAnsi="Arial" w:cs="Arial"/>
          <w:sz w:val="22"/>
          <w:szCs w:val="22"/>
        </w:rPr>
      </w:pPr>
    </w:p>
    <w:p w14:paraId="77658D71" w14:textId="77777777" w:rsidR="00C72334" w:rsidRPr="005F2C48" w:rsidRDefault="00C72334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817D8A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72334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035CD6">
        <w:rPr>
          <w:rFonts w:ascii="Arial" w:hAnsi="Arial" w:cs="Arial"/>
          <w:sz w:val="22"/>
          <w:szCs w:val="22"/>
        </w:rPr>
        <w:t>10. 07. 2024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4ACBE3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71F8BAE" w14:textId="77777777" w:rsidR="00C72334" w:rsidRDefault="00C72334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C72334" w:rsidRDefault="00C72334" w:rsidP="00AF39CE">
      <w:pPr>
        <w:jc w:val="both"/>
        <w:rPr>
          <w:rFonts w:ascii="Arial" w:hAnsi="Arial" w:cs="Arial"/>
          <w:sz w:val="22"/>
          <w:szCs w:val="22"/>
        </w:rPr>
        <w:sectPr w:rsidR="00C72334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MARTEX SKN , spol. s r.o.</w:t>
      </w:r>
    </w:p>
    <w:p w14:paraId="043A3516" w14:textId="5A7FF492" w:rsidR="00560DD8" w:rsidRPr="009378A3" w:rsidRDefault="00C72334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="009966BB">
        <w:rPr>
          <w:rFonts w:ascii="Arial" w:hAnsi="Arial" w:cs="Arial"/>
          <w:color w:val="000000"/>
          <w:sz w:val="22"/>
          <w:szCs w:val="22"/>
        </w:rPr>
        <w:t>Václav Perník</w:t>
      </w:r>
      <w:r w:rsidR="007B132F">
        <w:rPr>
          <w:rFonts w:ascii="Arial" w:hAnsi="Arial" w:cs="Arial"/>
          <w:color w:val="000000"/>
          <w:sz w:val="22"/>
          <w:szCs w:val="22"/>
        </w:rPr>
        <w:t>-jednatel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D108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0D108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D108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50D908C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082">
        <w:rPr>
          <w:rFonts w:ascii="Arial" w:hAnsi="Arial" w:cs="Arial"/>
          <w:sz w:val="22"/>
          <w:szCs w:val="22"/>
        </w:rPr>
        <w:t xml:space="preserve">Datum registrace: </w:t>
      </w:r>
      <w:r w:rsidR="00A1016A">
        <w:rPr>
          <w:rFonts w:ascii="Arial" w:hAnsi="Arial" w:cs="Arial"/>
          <w:sz w:val="22"/>
          <w:szCs w:val="22"/>
        </w:rPr>
        <w:t>…………………</w:t>
      </w:r>
    </w:p>
    <w:p w14:paraId="0EE39A15" w14:textId="77777777" w:rsidR="000D1082" w:rsidRDefault="000D1082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3A965A82" w:rsidR="00AF39CE" w:rsidRPr="000D108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082">
        <w:rPr>
          <w:rFonts w:ascii="Arial" w:hAnsi="Arial" w:cs="Arial"/>
          <w:sz w:val="22"/>
          <w:szCs w:val="22"/>
        </w:rPr>
        <w:t xml:space="preserve">ID smlouvy: </w:t>
      </w:r>
      <w:r w:rsidR="000D1082">
        <w:rPr>
          <w:rFonts w:ascii="Arial" w:hAnsi="Arial" w:cs="Arial"/>
          <w:sz w:val="22"/>
          <w:szCs w:val="22"/>
        </w:rPr>
        <w:t>…………………</w:t>
      </w:r>
      <w:proofErr w:type="gramStart"/>
      <w:r w:rsidR="00A1016A">
        <w:rPr>
          <w:rFonts w:ascii="Arial" w:hAnsi="Arial" w:cs="Arial"/>
          <w:sz w:val="22"/>
          <w:szCs w:val="22"/>
        </w:rPr>
        <w:t>…….</w:t>
      </w:r>
      <w:proofErr w:type="gramEnd"/>
      <w:r w:rsidR="00A1016A">
        <w:rPr>
          <w:rFonts w:ascii="Arial" w:hAnsi="Arial" w:cs="Arial"/>
          <w:sz w:val="22"/>
          <w:szCs w:val="22"/>
        </w:rPr>
        <w:t>.</w:t>
      </w:r>
    </w:p>
    <w:p w14:paraId="1BE30E3C" w14:textId="77777777" w:rsidR="00A1016A" w:rsidRDefault="00A1016A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35E8362" w:rsidR="00AF39CE" w:rsidRPr="000D108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082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0D1082">
        <w:rPr>
          <w:rFonts w:ascii="Arial" w:hAnsi="Arial" w:cs="Arial"/>
          <w:sz w:val="22"/>
          <w:szCs w:val="22"/>
        </w:rPr>
        <w:t xml:space="preserve">verze: </w:t>
      </w:r>
      <w:r w:rsidR="00A1016A">
        <w:rPr>
          <w:rFonts w:ascii="Arial" w:hAnsi="Arial" w:cs="Arial"/>
          <w:sz w:val="22"/>
          <w:szCs w:val="22"/>
        </w:rPr>
        <w:t xml:space="preserve">  </w:t>
      </w:r>
      <w:proofErr w:type="gramEnd"/>
      <w:r w:rsidR="00A1016A">
        <w:rPr>
          <w:rFonts w:ascii="Arial" w:hAnsi="Arial" w:cs="Arial"/>
          <w:sz w:val="22"/>
          <w:szCs w:val="22"/>
        </w:rPr>
        <w:t xml:space="preserve">   ……………………….</w:t>
      </w:r>
    </w:p>
    <w:p w14:paraId="2694EF2B" w14:textId="77777777" w:rsidR="00A1016A" w:rsidRDefault="00A1016A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70A5E025" w:rsidR="00AF39CE" w:rsidRPr="000D108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082">
        <w:rPr>
          <w:rFonts w:ascii="Arial" w:hAnsi="Arial" w:cs="Arial"/>
          <w:sz w:val="22"/>
          <w:szCs w:val="22"/>
        </w:rPr>
        <w:t xml:space="preserve">Registraci provedl: </w:t>
      </w:r>
      <w:r w:rsidR="000D1082">
        <w:rPr>
          <w:rFonts w:ascii="Arial" w:hAnsi="Arial" w:cs="Arial"/>
          <w:sz w:val="22"/>
          <w:szCs w:val="22"/>
        </w:rPr>
        <w:t>Božena Schnelzerová</w:t>
      </w:r>
    </w:p>
    <w:p w14:paraId="6FAC2AC9" w14:textId="77777777" w:rsidR="00AF39CE" w:rsidRPr="000D108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4A8CA03" w:rsidR="00AF39CE" w:rsidRPr="000D108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D1082">
        <w:rPr>
          <w:rFonts w:ascii="Arial" w:hAnsi="Arial" w:cs="Arial"/>
          <w:sz w:val="22"/>
          <w:szCs w:val="22"/>
        </w:rPr>
        <w:t>V</w:t>
      </w:r>
      <w:r w:rsidR="000D1082">
        <w:rPr>
          <w:rFonts w:ascii="Arial" w:hAnsi="Arial" w:cs="Arial"/>
          <w:sz w:val="22"/>
          <w:szCs w:val="22"/>
        </w:rPr>
        <w:t> Českém Krumlově</w:t>
      </w:r>
      <w:r w:rsidRPr="000D10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D1082">
        <w:rPr>
          <w:rFonts w:ascii="Arial" w:hAnsi="Arial" w:cs="Arial"/>
          <w:sz w:val="22"/>
          <w:szCs w:val="22"/>
        </w:rPr>
        <w:t>…….</w:t>
      </w:r>
      <w:proofErr w:type="gramEnd"/>
      <w:r w:rsidRPr="000D1082">
        <w:rPr>
          <w:rFonts w:ascii="Arial" w:hAnsi="Arial" w:cs="Arial"/>
          <w:sz w:val="22"/>
          <w:szCs w:val="22"/>
        </w:rPr>
        <w:t>.</w:t>
      </w:r>
      <w:r w:rsidRPr="000D1082">
        <w:rPr>
          <w:rFonts w:ascii="Arial" w:hAnsi="Arial" w:cs="Arial"/>
          <w:sz w:val="22"/>
          <w:szCs w:val="22"/>
        </w:rPr>
        <w:tab/>
      </w:r>
      <w:r w:rsidRPr="000D1082">
        <w:rPr>
          <w:rFonts w:ascii="Arial" w:hAnsi="Arial" w:cs="Arial"/>
          <w:sz w:val="22"/>
          <w:szCs w:val="22"/>
        </w:rPr>
        <w:tab/>
      </w:r>
      <w:r w:rsidRPr="000D10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D1082">
        <w:rPr>
          <w:rFonts w:ascii="Arial" w:hAnsi="Arial" w:cs="Arial"/>
          <w:sz w:val="22"/>
          <w:szCs w:val="22"/>
        </w:rPr>
        <w:tab/>
      </w:r>
      <w:r w:rsidRPr="000D1082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767F" w14:textId="77777777" w:rsidR="0043795A" w:rsidRDefault="0043795A">
      <w:r>
        <w:separator/>
      </w:r>
    </w:p>
  </w:endnote>
  <w:endnote w:type="continuationSeparator" w:id="0">
    <w:p w14:paraId="6B0296CC" w14:textId="77777777" w:rsidR="0043795A" w:rsidRDefault="0043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E641" w14:textId="77777777" w:rsidR="0043795A" w:rsidRDefault="0043795A">
      <w:r>
        <w:separator/>
      </w:r>
    </w:p>
  </w:footnote>
  <w:footnote w:type="continuationSeparator" w:id="0">
    <w:p w14:paraId="102410A4" w14:textId="77777777" w:rsidR="0043795A" w:rsidRDefault="0043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6787">
    <w:abstractNumId w:val="14"/>
  </w:num>
  <w:num w:numId="2" w16cid:durableId="1924027016">
    <w:abstractNumId w:val="1"/>
  </w:num>
  <w:num w:numId="3" w16cid:durableId="1501460516">
    <w:abstractNumId w:val="10"/>
  </w:num>
  <w:num w:numId="4" w16cid:durableId="1511027410">
    <w:abstractNumId w:val="6"/>
  </w:num>
  <w:num w:numId="5" w16cid:durableId="1547989935">
    <w:abstractNumId w:val="3"/>
  </w:num>
  <w:num w:numId="6" w16cid:durableId="1087312267">
    <w:abstractNumId w:val="8"/>
  </w:num>
  <w:num w:numId="7" w16cid:durableId="2080588941">
    <w:abstractNumId w:val="9"/>
  </w:num>
  <w:num w:numId="8" w16cid:durableId="939869628">
    <w:abstractNumId w:val="0"/>
  </w:num>
  <w:num w:numId="9" w16cid:durableId="976496293">
    <w:abstractNumId w:val="11"/>
  </w:num>
  <w:num w:numId="10" w16cid:durableId="734939037">
    <w:abstractNumId w:val="15"/>
  </w:num>
  <w:num w:numId="11" w16cid:durableId="1223982793">
    <w:abstractNumId w:val="12"/>
  </w:num>
  <w:num w:numId="12" w16cid:durableId="1046877607">
    <w:abstractNumId w:val="7"/>
  </w:num>
  <w:num w:numId="13" w16cid:durableId="1705863025">
    <w:abstractNumId w:val="4"/>
  </w:num>
  <w:num w:numId="14" w16cid:durableId="696467826">
    <w:abstractNumId w:val="2"/>
  </w:num>
  <w:num w:numId="15" w16cid:durableId="802966020">
    <w:abstractNumId w:val="5"/>
  </w:num>
  <w:num w:numId="16" w16cid:durableId="538394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CD6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1082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07CB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11B2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3795A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7740E"/>
    <w:rsid w:val="005802E4"/>
    <w:rsid w:val="0058454E"/>
    <w:rsid w:val="00584D21"/>
    <w:rsid w:val="0058501F"/>
    <w:rsid w:val="005906D0"/>
    <w:rsid w:val="00591B89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48E0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32AA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4F1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6DE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132F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C38"/>
    <w:rsid w:val="008C03B1"/>
    <w:rsid w:val="008C420A"/>
    <w:rsid w:val="008C6195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6BB"/>
    <w:rsid w:val="009969CA"/>
    <w:rsid w:val="0099782A"/>
    <w:rsid w:val="009C0B98"/>
    <w:rsid w:val="009C1E0F"/>
    <w:rsid w:val="009C7DC8"/>
    <w:rsid w:val="009D1E40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016A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4C60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612A"/>
    <w:rsid w:val="00C67421"/>
    <w:rsid w:val="00C72334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53"/>
    <w:rsid w:val="00DC4C8D"/>
    <w:rsid w:val="00DD09F5"/>
    <w:rsid w:val="00DD3CCC"/>
    <w:rsid w:val="00DD4DE4"/>
    <w:rsid w:val="00DE7B9D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578A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63F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1474</Words>
  <Characters>8660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Schnelzerová Božena</cp:lastModifiedBy>
  <cp:revision>22</cp:revision>
  <cp:lastPrinted>2019-10-23T07:09:00Z</cp:lastPrinted>
  <dcterms:created xsi:type="dcterms:W3CDTF">2024-06-17T10:26:00Z</dcterms:created>
  <dcterms:modified xsi:type="dcterms:W3CDTF">2024-07-12T08:46:00Z</dcterms:modified>
</cp:coreProperties>
</file>