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OBJ-0655/2024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 E T O R A , spol. s 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Benešovská 797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Semily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513 01  Semily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15044289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CZ15044289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rakve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zboží:</w:t>
              <w:br/>
              <w:br/>
              <w:t>- rakev 120cm  20ks             á 2240,- Kč bez DPH     celkem 44.800,-</w:t>
              <w:br/>
              <w:br/>
              <w:t>- rakev 80cm   10ks             á 2140,- Kč bez DPH     celkem 21.400,-</w:t>
              <w:br/>
              <w:br/>
              <w:br/>
              <w:t>Celková cena: 80.102    ,- Kč s DPH</w:t>
              <w:br/>
              <w:t xml:space="preserve">     </w:t>
              <w:br/>
              <w:t>Platba: převodem</w:t>
              <w:br/>
              <w:br/>
              <w:t>Doprava:  Hřbitov Vinohrady, Vinohradská 212, Praha 10</w:t>
              <w:br/>
              <w:br/>
              <w:t>Stř. 330</w:t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11.07.2024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OBJ-0655/2024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