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060DC762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1024/11a, 130 00 Praha 3 – Žižkov, IČO: 013 12 774, Krajský pozemkový úřad pro</w:t>
      </w:r>
      <w:r w:rsidR="00A771CD">
        <w:rPr>
          <w:rFonts w:ascii="Arial" w:hAnsi="Arial" w:cs="Arial"/>
          <w:sz w:val="22"/>
          <w:szCs w:val="22"/>
        </w:rPr>
        <w:t xml:space="preserve"> Středočeský kraj a hlavní město Praha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Pobočka </w:t>
      </w:r>
      <w:r w:rsidR="00A771CD">
        <w:rPr>
          <w:rFonts w:ascii="Arial" w:hAnsi="Arial" w:cs="Arial"/>
          <w:sz w:val="22"/>
          <w:szCs w:val="22"/>
        </w:rPr>
        <w:t>Rakovník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na </w:t>
      </w: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adrese </w:t>
      </w:r>
      <w:r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71CD">
        <w:rPr>
          <w:rFonts w:ascii="Arial" w:hAnsi="Arial" w:cs="Arial"/>
          <w:sz w:val="22"/>
          <w:szCs w:val="22"/>
        </w:rPr>
        <w:t>Lubenská</w:t>
      </w:r>
      <w:proofErr w:type="spellEnd"/>
      <w:proofErr w:type="gramEnd"/>
      <w:r w:rsidR="00A771CD">
        <w:rPr>
          <w:rFonts w:ascii="Arial" w:hAnsi="Arial" w:cs="Arial"/>
          <w:sz w:val="22"/>
          <w:szCs w:val="22"/>
        </w:rPr>
        <w:t xml:space="preserve"> 2250, 269 01 Rakovník.</w:t>
      </w:r>
    </w:p>
    <w:p w14:paraId="1E55C822" w14:textId="7B80C325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A771CD">
        <w:rPr>
          <w:rFonts w:ascii="Arial" w:hAnsi="Arial" w:cs="Arial"/>
          <w:sz w:val="22"/>
          <w:szCs w:val="22"/>
        </w:rPr>
        <w:t>Ing. Silvie Römerová, vedoucí Pobočky Rakovník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BEB8762" w14:textId="61C1987C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A771CD">
        <w:rPr>
          <w:rFonts w:ascii="Arial" w:hAnsi="Arial" w:cs="Arial"/>
          <w:sz w:val="22"/>
          <w:szCs w:val="22"/>
        </w:rPr>
        <w:t>Ing. Silvie Römerová</w:t>
      </w:r>
      <w:r w:rsidRPr="00014665">
        <w:rPr>
          <w:rFonts w:ascii="Arial" w:hAnsi="Arial" w:cs="Arial"/>
          <w:sz w:val="22"/>
          <w:szCs w:val="22"/>
        </w:rPr>
        <w:t xml:space="preserve">, KPÚ </w:t>
      </w:r>
      <w:r w:rsidR="00A771CD">
        <w:rPr>
          <w:rFonts w:ascii="Arial" w:hAnsi="Arial" w:cs="Arial"/>
          <w:sz w:val="22"/>
          <w:szCs w:val="22"/>
        </w:rPr>
        <w:t>Středočeský kraj a hlavní město Praha</w:t>
      </w:r>
      <w:r w:rsidRPr="00014665">
        <w:rPr>
          <w:rFonts w:ascii="Arial" w:hAnsi="Arial" w:cs="Arial"/>
          <w:sz w:val="22"/>
          <w:szCs w:val="22"/>
        </w:rPr>
        <w:t>, Pobočka</w:t>
      </w:r>
      <w:r w:rsidR="00A771CD">
        <w:rPr>
          <w:rFonts w:ascii="Arial" w:hAnsi="Arial" w:cs="Arial"/>
          <w:sz w:val="22"/>
          <w:szCs w:val="22"/>
        </w:rPr>
        <w:t xml:space="preserve"> Rakovník</w:t>
      </w:r>
      <w:r w:rsidRPr="00014665">
        <w:rPr>
          <w:rFonts w:ascii="Arial" w:hAnsi="Arial" w:cs="Arial"/>
          <w:sz w:val="22"/>
          <w:szCs w:val="22"/>
        </w:rPr>
        <w:t xml:space="preserve">  </w:t>
      </w:r>
    </w:p>
    <w:p w14:paraId="75B59BEE" w14:textId="71CA31BA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771CD">
        <w:rPr>
          <w:rFonts w:ascii="Arial" w:hAnsi="Arial" w:cs="Arial"/>
          <w:snapToGrid w:val="0"/>
          <w:sz w:val="22"/>
          <w:szCs w:val="22"/>
        </w:rPr>
        <w:t>Ivana Šmídová</w:t>
      </w:r>
      <w:r w:rsidRPr="00014665">
        <w:rPr>
          <w:rFonts w:ascii="Arial" w:hAnsi="Arial" w:cs="Arial"/>
          <w:sz w:val="22"/>
          <w:szCs w:val="22"/>
        </w:rPr>
        <w:t xml:space="preserve">, KPÚ </w:t>
      </w:r>
      <w:r w:rsidR="00A771CD">
        <w:rPr>
          <w:rFonts w:ascii="Arial" w:hAnsi="Arial" w:cs="Arial"/>
          <w:sz w:val="22"/>
          <w:szCs w:val="22"/>
        </w:rPr>
        <w:t>Středočeský kraj a hlavní město Praha</w:t>
      </w:r>
      <w:r w:rsidRPr="00014665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14665">
        <w:rPr>
          <w:rFonts w:ascii="Arial" w:hAnsi="Arial" w:cs="Arial"/>
          <w:sz w:val="22"/>
          <w:szCs w:val="22"/>
        </w:rPr>
        <w:t xml:space="preserve">Pobočka 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  <w:r w:rsidR="00F922D5">
        <w:rPr>
          <w:rFonts w:ascii="Arial" w:hAnsi="Arial" w:cs="Arial"/>
          <w:iCs/>
          <w:sz w:val="22"/>
          <w:szCs w:val="22"/>
        </w:rPr>
        <w:t>Rakovník</w:t>
      </w:r>
      <w:proofErr w:type="gramEnd"/>
    </w:p>
    <w:p w14:paraId="532BF7CA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50559C7B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F922D5">
        <w:rPr>
          <w:rFonts w:ascii="Arial" w:hAnsi="Arial" w:cs="Arial"/>
          <w:sz w:val="22"/>
          <w:szCs w:val="22"/>
        </w:rPr>
        <w:t>725949942</w:t>
      </w:r>
    </w:p>
    <w:p w14:paraId="6DA97DD3" w14:textId="3798C971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F922D5">
        <w:rPr>
          <w:rFonts w:ascii="Arial" w:hAnsi="Arial" w:cs="Arial"/>
          <w:snapToGrid w:val="0"/>
          <w:sz w:val="22"/>
          <w:szCs w:val="22"/>
        </w:rPr>
        <w:t>rakovnik.pk@spucr.cz</w:t>
      </w:r>
    </w:p>
    <w:p w14:paraId="1A4CEAA3" w14:textId="77777777" w:rsidR="00797092" w:rsidRPr="00014665" w:rsidRDefault="00797092" w:rsidP="00797092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2BEEADC1" w:rsidR="00797092" w:rsidRPr="006A16B6" w:rsidRDefault="002B2A98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 w:rsidRPr="006A16B6">
        <w:rPr>
          <w:rFonts w:ascii="Arial" w:hAnsi="Arial" w:cs="Arial"/>
          <w:b/>
          <w:sz w:val="22"/>
          <w:szCs w:val="22"/>
        </w:rPr>
        <w:t>GEO PROPERTY PLUS spol. s r.o.</w:t>
      </w:r>
    </w:p>
    <w:p w14:paraId="6CB3C788" w14:textId="34666359" w:rsidR="00797092" w:rsidRPr="006A16B6" w:rsidRDefault="00797092" w:rsidP="00C4519C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6A16B6">
        <w:rPr>
          <w:rFonts w:ascii="Arial" w:hAnsi="Arial" w:cs="Arial"/>
          <w:snapToGrid w:val="0"/>
          <w:sz w:val="22"/>
          <w:szCs w:val="22"/>
        </w:rPr>
        <w:t xml:space="preserve">společnost založená a existující podle právního řádu České republiky, se sídlem </w:t>
      </w:r>
      <w:r w:rsidR="005A1213" w:rsidRPr="006A16B6">
        <w:rPr>
          <w:rFonts w:ascii="Arial" w:hAnsi="Arial" w:cs="Arial"/>
          <w:snapToGrid w:val="0"/>
          <w:sz w:val="22"/>
          <w:szCs w:val="22"/>
        </w:rPr>
        <w:t>Mníšecká 23, 252 30 Řevnice, IČO: 03760090, zapsaná v obchodním rejstříku vedeném</w:t>
      </w:r>
      <w:r w:rsidR="00C4519C" w:rsidRPr="006A16B6">
        <w:rPr>
          <w:rFonts w:ascii="Arial" w:hAnsi="Arial" w:cs="Arial"/>
          <w:snapToGrid w:val="0"/>
          <w:sz w:val="22"/>
          <w:szCs w:val="22"/>
        </w:rPr>
        <w:t xml:space="preserve"> </w:t>
      </w:r>
      <w:r w:rsidR="005A1213" w:rsidRPr="006A16B6">
        <w:rPr>
          <w:rFonts w:ascii="Arial" w:hAnsi="Arial" w:cs="Arial"/>
          <w:snapToGrid w:val="0"/>
          <w:sz w:val="22"/>
          <w:szCs w:val="22"/>
        </w:rPr>
        <w:t xml:space="preserve">u Městského soudu v Praze, oddíl </w:t>
      </w:r>
      <w:proofErr w:type="gramStart"/>
      <w:r w:rsidR="005A1213" w:rsidRPr="006A16B6">
        <w:rPr>
          <w:rFonts w:ascii="Arial" w:hAnsi="Arial" w:cs="Arial"/>
          <w:snapToGrid w:val="0"/>
          <w:sz w:val="22"/>
          <w:szCs w:val="22"/>
        </w:rPr>
        <w:t>C ,</w:t>
      </w:r>
      <w:proofErr w:type="gramEnd"/>
      <w:r w:rsidR="005A1213" w:rsidRPr="006A16B6">
        <w:rPr>
          <w:rFonts w:ascii="Arial" w:hAnsi="Arial" w:cs="Arial"/>
          <w:snapToGrid w:val="0"/>
          <w:sz w:val="22"/>
          <w:szCs w:val="22"/>
        </w:rPr>
        <w:t xml:space="preserve"> vložka 237421</w:t>
      </w:r>
    </w:p>
    <w:p w14:paraId="47FA9FF2" w14:textId="4ECD322E" w:rsidR="00797092" w:rsidRPr="006A16B6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r w:rsidRPr="006A16B6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C4519C" w:rsidRPr="006A16B6">
        <w:rPr>
          <w:rFonts w:ascii="Arial" w:hAnsi="Arial" w:cs="Arial"/>
          <w:snapToGrid w:val="0"/>
          <w:sz w:val="22"/>
          <w:szCs w:val="22"/>
        </w:rPr>
        <w:t xml:space="preserve">Kryštofem </w:t>
      </w:r>
      <w:proofErr w:type="spellStart"/>
      <w:r w:rsidR="00C4519C" w:rsidRPr="006A16B6">
        <w:rPr>
          <w:rFonts w:ascii="Arial" w:hAnsi="Arial" w:cs="Arial"/>
          <w:snapToGrid w:val="0"/>
          <w:sz w:val="22"/>
          <w:szCs w:val="22"/>
        </w:rPr>
        <w:t>Kubrichtem</w:t>
      </w:r>
      <w:proofErr w:type="spellEnd"/>
      <w:r w:rsidR="00C4519C" w:rsidRPr="006A16B6">
        <w:rPr>
          <w:rFonts w:ascii="Arial" w:hAnsi="Arial" w:cs="Arial"/>
          <w:snapToGrid w:val="0"/>
          <w:sz w:val="22"/>
          <w:szCs w:val="22"/>
        </w:rPr>
        <w:t>, jednatelem společnosti</w:t>
      </w:r>
    </w:p>
    <w:p w14:paraId="74D6E459" w14:textId="0609C876" w:rsidR="00797092" w:rsidRPr="006A16B6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6A16B6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6A16B6">
        <w:rPr>
          <w:rFonts w:ascii="Arial" w:hAnsi="Arial" w:cs="Arial"/>
          <w:sz w:val="22"/>
          <w:szCs w:val="22"/>
        </w:rPr>
        <w:t>zastoupená</w:t>
      </w:r>
      <w:r w:rsidRPr="006A16B6">
        <w:rPr>
          <w:rFonts w:ascii="Arial" w:hAnsi="Arial" w:cs="Arial"/>
          <w:bCs/>
          <w:sz w:val="22"/>
          <w:szCs w:val="22"/>
        </w:rPr>
        <w:t xml:space="preserve">: </w:t>
      </w:r>
      <w:r w:rsidR="005C0149" w:rsidRPr="006A16B6">
        <w:rPr>
          <w:rFonts w:ascii="Arial" w:hAnsi="Arial" w:cs="Arial"/>
          <w:snapToGrid w:val="0"/>
          <w:sz w:val="22"/>
          <w:szCs w:val="22"/>
        </w:rPr>
        <w:t xml:space="preserve">Kryštofem </w:t>
      </w:r>
      <w:proofErr w:type="spellStart"/>
      <w:r w:rsidR="005C0149" w:rsidRPr="006A16B6">
        <w:rPr>
          <w:rFonts w:ascii="Arial" w:hAnsi="Arial" w:cs="Arial"/>
          <w:snapToGrid w:val="0"/>
          <w:sz w:val="22"/>
          <w:szCs w:val="22"/>
        </w:rPr>
        <w:t>Kubrichtem</w:t>
      </w:r>
      <w:proofErr w:type="spellEnd"/>
    </w:p>
    <w:p w14:paraId="73031793" w14:textId="6623336E" w:rsidR="00797092" w:rsidRPr="006A16B6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6A16B6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6A16B6">
        <w:rPr>
          <w:rFonts w:ascii="Arial" w:hAnsi="Arial" w:cs="Arial"/>
          <w:sz w:val="22"/>
          <w:szCs w:val="22"/>
        </w:rPr>
        <w:t>zastoupená</w:t>
      </w:r>
      <w:r w:rsidRPr="006A16B6">
        <w:rPr>
          <w:rFonts w:ascii="Arial" w:hAnsi="Arial" w:cs="Arial"/>
          <w:sz w:val="22"/>
          <w:szCs w:val="22"/>
        </w:rPr>
        <w:t xml:space="preserve">: </w:t>
      </w:r>
      <w:r w:rsidR="00C83F27">
        <w:rPr>
          <w:rFonts w:ascii="Arial" w:hAnsi="Arial" w:cs="Arial"/>
          <w:snapToGrid w:val="0"/>
          <w:sz w:val="22"/>
          <w:szCs w:val="22"/>
        </w:rPr>
        <w:t>XXX</w:t>
      </w:r>
    </w:p>
    <w:p w14:paraId="58AC5C4F" w14:textId="77777777" w:rsidR="00797092" w:rsidRPr="006A16B6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6A16B6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6287E810" w:rsidR="00797092" w:rsidRPr="006A16B6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6A16B6">
        <w:rPr>
          <w:rFonts w:ascii="Arial" w:hAnsi="Arial" w:cs="Arial"/>
          <w:sz w:val="22"/>
          <w:szCs w:val="22"/>
        </w:rPr>
        <w:t>Tel.:</w:t>
      </w:r>
      <w:r w:rsidR="005C0149" w:rsidRPr="006A16B6">
        <w:rPr>
          <w:rFonts w:ascii="Arial" w:hAnsi="Arial" w:cs="Arial"/>
          <w:snapToGrid w:val="0"/>
          <w:sz w:val="22"/>
          <w:szCs w:val="22"/>
        </w:rPr>
        <w:t xml:space="preserve"> </w:t>
      </w:r>
      <w:r w:rsidR="00C83F27">
        <w:rPr>
          <w:rFonts w:ascii="Arial" w:hAnsi="Arial" w:cs="Arial"/>
          <w:snapToGrid w:val="0"/>
          <w:sz w:val="22"/>
          <w:szCs w:val="22"/>
        </w:rPr>
        <w:t>XXX</w:t>
      </w:r>
    </w:p>
    <w:p w14:paraId="238788A1" w14:textId="5335B30B" w:rsidR="00797092" w:rsidRPr="006A16B6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6A16B6">
        <w:rPr>
          <w:rFonts w:ascii="Arial" w:hAnsi="Arial" w:cs="Arial"/>
          <w:sz w:val="22"/>
          <w:szCs w:val="22"/>
        </w:rPr>
        <w:t>E-mail</w:t>
      </w:r>
      <w:r w:rsidRPr="006A16B6">
        <w:rPr>
          <w:rFonts w:ascii="Arial" w:hAnsi="Arial" w:cs="Arial"/>
          <w:snapToGrid w:val="0"/>
          <w:sz w:val="22"/>
          <w:szCs w:val="22"/>
        </w:rPr>
        <w:t>:</w:t>
      </w:r>
      <w:r w:rsidR="005C0149" w:rsidRPr="006A16B6">
        <w:rPr>
          <w:rFonts w:ascii="Arial" w:hAnsi="Arial" w:cs="Arial"/>
          <w:snapToGrid w:val="0"/>
          <w:sz w:val="22"/>
          <w:szCs w:val="22"/>
        </w:rPr>
        <w:t xml:space="preserve"> </w:t>
      </w:r>
      <w:r w:rsidR="00C83F27">
        <w:rPr>
          <w:rFonts w:ascii="Arial" w:hAnsi="Arial" w:cs="Arial"/>
          <w:snapToGrid w:val="0"/>
          <w:sz w:val="22"/>
          <w:szCs w:val="22"/>
        </w:rPr>
        <w:t>XXX</w:t>
      </w:r>
    </w:p>
    <w:p w14:paraId="2191597D" w14:textId="5E1EABE6" w:rsidR="00797092" w:rsidRPr="006A16B6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6A16B6">
        <w:rPr>
          <w:rFonts w:ascii="Arial" w:hAnsi="Arial" w:cs="Arial"/>
          <w:sz w:val="22"/>
          <w:szCs w:val="22"/>
        </w:rPr>
        <w:t xml:space="preserve">ID datové </w:t>
      </w:r>
      <w:r w:rsidRPr="006A16B6">
        <w:rPr>
          <w:rFonts w:ascii="Arial" w:hAnsi="Arial" w:cs="Arial"/>
          <w:snapToGrid w:val="0"/>
          <w:sz w:val="22"/>
          <w:szCs w:val="22"/>
        </w:rPr>
        <w:t xml:space="preserve">schránky: </w:t>
      </w:r>
      <w:r w:rsidR="005C0149" w:rsidRPr="006A16B6">
        <w:rPr>
          <w:rFonts w:ascii="Arial" w:hAnsi="Arial" w:cs="Arial"/>
          <w:snapToGrid w:val="0"/>
          <w:sz w:val="22"/>
          <w:szCs w:val="22"/>
        </w:rPr>
        <w:t>7tpwe7m</w:t>
      </w:r>
    </w:p>
    <w:p w14:paraId="6022D172" w14:textId="34E53435" w:rsidR="00797092" w:rsidRPr="006A16B6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6A16B6">
        <w:rPr>
          <w:rFonts w:ascii="Arial" w:hAnsi="Arial" w:cs="Arial"/>
          <w:b/>
          <w:sz w:val="22"/>
          <w:szCs w:val="22"/>
        </w:rPr>
        <w:t>Bankovní spojení:</w:t>
      </w:r>
      <w:r w:rsidRPr="006A16B6">
        <w:rPr>
          <w:rFonts w:ascii="Arial" w:hAnsi="Arial" w:cs="Arial"/>
          <w:snapToGrid w:val="0"/>
          <w:sz w:val="22"/>
          <w:szCs w:val="22"/>
        </w:rPr>
        <w:t xml:space="preserve"> </w:t>
      </w:r>
      <w:r w:rsidR="006A16B6" w:rsidRPr="006A16B6">
        <w:rPr>
          <w:rFonts w:ascii="Arial" w:hAnsi="Arial" w:cs="Arial"/>
          <w:snapToGrid w:val="0"/>
          <w:sz w:val="22"/>
          <w:szCs w:val="22"/>
        </w:rPr>
        <w:t>Komerční banka</w:t>
      </w:r>
    </w:p>
    <w:p w14:paraId="32C9F5BB" w14:textId="2B0F5D8B" w:rsidR="00797092" w:rsidRPr="006A16B6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6A16B6">
        <w:rPr>
          <w:rFonts w:ascii="Arial" w:hAnsi="Arial" w:cs="Arial"/>
          <w:sz w:val="22"/>
          <w:szCs w:val="22"/>
        </w:rPr>
        <w:t>Číslo účtu</w:t>
      </w:r>
      <w:r w:rsidRPr="006A16B6">
        <w:rPr>
          <w:rFonts w:ascii="Arial" w:hAnsi="Arial" w:cs="Arial"/>
          <w:snapToGrid w:val="0"/>
          <w:sz w:val="22"/>
          <w:szCs w:val="22"/>
        </w:rPr>
        <w:t xml:space="preserve">: </w:t>
      </w:r>
      <w:r w:rsidR="006A16B6" w:rsidRPr="006A16B6">
        <w:rPr>
          <w:rFonts w:ascii="Arial" w:hAnsi="Arial" w:cs="Arial"/>
          <w:snapToGrid w:val="0"/>
          <w:sz w:val="22"/>
          <w:szCs w:val="22"/>
        </w:rPr>
        <w:t>115-2132080267/0100</w:t>
      </w:r>
    </w:p>
    <w:p w14:paraId="08E4CF51" w14:textId="3C2E1311" w:rsidR="00797092" w:rsidRPr="00014665" w:rsidRDefault="00797092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6A16B6">
        <w:rPr>
          <w:rFonts w:ascii="Arial" w:hAnsi="Arial" w:cs="Arial"/>
          <w:sz w:val="22"/>
          <w:szCs w:val="22"/>
        </w:rPr>
        <w:t xml:space="preserve">DIČ: </w:t>
      </w:r>
      <w:r w:rsidR="006A16B6" w:rsidRPr="006A16B6">
        <w:rPr>
          <w:rFonts w:ascii="Arial" w:hAnsi="Arial" w:cs="Arial"/>
          <w:snapToGrid w:val="0"/>
          <w:sz w:val="22"/>
          <w:szCs w:val="22"/>
        </w:rPr>
        <w:t>CZ 03760090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54EA3B92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73A9DFF9" w:rsidR="006D681C" w:rsidRPr="001043B7" w:rsidRDefault="111BF58B" w:rsidP="001043B7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,Bold2" w:eastAsiaTheme="minorHAnsi" w:hAnsi="Arial,Bold2" w:cs="Arial,Bold2"/>
          <w:b/>
          <w:bCs/>
          <w:sz w:val="22"/>
          <w:szCs w:val="22"/>
          <w:lang w:eastAsia="en-US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1043B7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Vytyčení vlastnických hranic pozemků po komplexních pozemkových úpravách v </w:t>
      </w:r>
      <w:r w:rsidR="001043B7">
        <w:rPr>
          <w:rFonts w:ascii="Arial,Bold2" w:eastAsiaTheme="minorHAnsi" w:hAnsi="Arial,Bold2" w:cs="Arial,Bold2"/>
          <w:b/>
          <w:bCs/>
          <w:sz w:val="22"/>
          <w:szCs w:val="22"/>
          <w:lang w:eastAsia="en-US"/>
        </w:rPr>
        <w:t xml:space="preserve">okrese </w:t>
      </w:r>
      <w:r w:rsidR="001043B7"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Rakovník 2024</w:t>
      </w:r>
      <w:r w:rsidR="001043B7" w:rsidRPr="00014665">
        <w:rPr>
          <w:rFonts w:ascii="Arial" w:hAnsi="Arial" w:cs="Arial"/>
          <w:sz w:val="22"/>
          <w:szCs w:val="22"/>
        </w:rPr>
        <w:t xml:space="preserve"> </w:t>
      </w:r>
      <w:r w:rsidR="37B6FD6A" w:rsidRPr="00014665">
        <w:rPr>
          <w:rFonts w:ascii="Arial" w:hAnsi="Arial" w:cs="Arial"/>
          <w:sz w:val="22"/>
          <w:szCs w:val="22"/>
        </w:rPr>
        <w:t>(„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>Veřejná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>k. ú</w:t>
      </w:r>
      <w:r w:rsidR="2A2CE0EA" w:rsidRPr="00014665">
        <w:rPr>
          <w:rFonts w:ascii="Arial" w:hAnsi="Arial" w:cs="Arial"/>
          <w:sz w:val="22"/>
          <w:szCs w:val="22"/>
        </w:rPr>
        <w:t>.</w:t>
      </w:r>
    </w:p>
    <w:p w14:paraId="62398B62" w14:textId="1EE25462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proofErr w:type="gramStart"/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>ílo  v</w:t>
      </w:r>
      <w:proofErr w:type="gramEnd"/>
      <w:r w:rsidR="007A64CD" w:rsidRPr="00014665">
        <w:rPr>
          <w:rFonts w:ascii="Arial" w:hAnsi="Arial" w:cs="Arial"/>
          <w:sz w:val="22"/>
          <w:szCs w:val="22"/>
        </w:rPr>
        <w:t xml:space="preserve">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lastRenderedPageBreak/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336FD1FF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8334A0">
        <w:rPr>
          <w:rFonts w:ascii="Arial" w:hAnsi="Arial" w:cs="Arial"/>
          <w:sz w:val="22"/>
          <w:szCs w:val="22"/>
        </w:rPr>
        <w:t>2. 7. 2024</w:t>
      </w:r>
    </w:p>
    <w:p w14:paraId="085E7CB4" w14:textId="1F9A9289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CB1DFA">
        <w:rPr>
          <w:rFonts w:ascii="Arial" w:hAnsi="Arial" w:cs="Arial"/>
          <w:sz w:val="22"/>
          <w:szCs w:val="22"/>
        </w:rPr>
        <w:t>Středočeský kraj a hlavní město Praha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CB1DFA">
        <w:rPr>
          <w:rFonts w:ascii="Arial" w:hAnsi="Arial" w:cs="Arial"/>
          <w:sz w:val="22"/>
          <w:szCs w:val="22"/>
        </w:rPr>
        <w:t>Rakovník</w:t>
      </w:r>
      <w:r w:rsidR="00EF29D9" w:rsidRPr="00014665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6BCBFA8E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zadávacími podmínkami </w:t>
      </w:r>
      <w:proofErr w:type="gramStart"/>
      <w:r w:rsidRPr="00014665">
        <w:rPr>
          <w:rFonts w:ascii="Arial" w:hAnsi="Arial" w:cs="Arial"/>
          <w:sz w:val="22"/>
          <w:szCs w:val="22"/>
        </w:rPr>
        <w:t>výběrového</w:t>
      </w:r>
      <w:r w:rsidR="009855A2" w:rsidRPr="00014665">
        <w:rPr>
          <w:rFonts w:ascii="Arial" w:hAnsi="Arial" w:cs="Arial"/>
          <w:sz w:val="22"/>
          <w:szCs w:val="22"/>
        </w:rPr>
        <w:t xml:space="preserve"> </w:t>
      </w:r>
      <w:r w:rsidR="00CB1DFA">
        <w:rPr>
          <w:rFonts w:ascii="Arial" w:hAnsi="Arial" w:cs="Arial"/>
          <w:sz w:val="22"/>
          <w:szCs w:val="22"/>
        </w:rPr>
        <w:t xml:space="preserve"> ř</w:t>
      </w:r>
      <w:r w:rsidRPr="00014665">
        <w:rPr>
          <w:rFonts w:ascii="Arial" w:hAnsi="Arial" w:cs="Arial"/>
          <w:sz w:val="22"/>
          <w:szCs w:val="22"/>
        </w:rPr>
        <w:t>ízení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6A150531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ú.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B1DFA">
        <w:rPr>
          <w:rFonts w:ascii="Arial" w:hAnsi="Arial" w:cs="Arial"/>
          <w:sz w:val="22"/>
          <w:szCs w:val="22"/>
        </w:rPr>
        <w:t>Skryje nad Berounkou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10231B7F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CB1DFA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16D87068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CB1DFA">
        <w:rPr>
          <w:rFonts w:ascii="Arial" w:hAnsi="Arial" w:cs="Arial"/>
          <w:sz w:val="22"/>
          <w:szCs w:val="22"/>
        </w:rPr>
        <w:t>Středočeský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>kraj</w:t>
      </w:r>
      <w:r w:rsidR="00CB1DFA">
        <w:rPr>
          <w:rFonts w:ascii="Arial" w:hAnsi="Arial" w:cs="Arial"/>
          <w:sz w:val="22"/>
          <w:szCs w:val="22"/>
        </w:rPr>
        <w:t xml:space="preserve"> a hlavní město Praha</w:t>
      </w:r>
      <w:r w:rsidR="00560039" w:rsidRPr="00014665">
        <w:rPr>
          <w:rFonts w:ascii="Arial" w:hAnsi="Arial" w:cs="Arial"/>
          <w:sz w:val="22"/>
          <w:szCs w:val="22"/>
        </w:rPr>
        <w:t xml:space="preserve">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CB1DFA">
        <w:rPr>
          <w:rFonts w:ascii="Arial" w:hAnsi="Arial" w:cs="Arial"/>
          <w:sz w:val="22"/>
          <w:szCs w:val="22"/>
        </w:rPr>
        <w:t>Rakovník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CB1DFA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014665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347D9997" w:rsidR="00FD4817" w:rsidRPr="00014665" w:rsidRDefault="003C444A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0D5235"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014665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014665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014665">
        <w:rPr>
          <w:rFonts w:ascii="Arial" w:hAnsi="Arial" w:cs="Arial"/>
          <w:sz w:val="22"/>
          <w:szCs w:val="22"/>
        </w:rPr>
        <w:t xml:space="preserve">práce </w:t>
      </w:r>
      <w:r w:rsidR="0042404C" w:rsidRPr="00014665">
        <w:rPr>
          <w:rFonts w:ascii="Arial" w:hAnsi="Arial" w:cs="Arial"/>
          <w:sz w:val="22"/>
          <w:szCs w:val="22"/>
        </w:rPr>
        <w:t xml:space="preserve">a </w:t>
      </w:r>
      <w:r w:rsidR="001F36D3" w:rsidRPr="00014665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014665">
        <w:rPr>
          <w:rFonts w:ascii="Arial" w:hAnsi="Arial" w:cs="Arial"/>
          <w:sz w:val="22"/>
          <w:szCs w:val="22"/>
        </w:rPr>
        <w:t xml:space="preserve"> a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0D5235" w:rsidRPr="00014665">
        <w:rPr>
          <w:rFonts w:ascii="Arial" w:hAnsi="Arial" w:cs="Arial"/>
          <w:sz w:val="22"/>
          <w:szCs w:val="22"/>
        </w:rPr>
        <w:t>bjednateli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9F207D" w:rsidRPr="00014665">
        <w:rPr>
          <w:rFonts w:ascii="Arial" w:hAnsi="Arial" w:cs="Arial"/>
          <w:sz w:val="22"/>
          <w:szCs w:val="22"/>
        </w:rPr>
        <w:t>k</w:t>
      </w:r>
      <w:r w:rsidRPr="00014665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014665">
        <w:rPr>
          <w:rFonts w:ascii="Arial" w:hAnsi="Arial" w:cs="Arial"/>
          <w:sz w:val="22"/>
          <w:szCs w:val="22"/>
        </w:rPr>
        <w:t xml:space="preserve">celého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6451F" w:rsidRPr="00014665">
        <w:rPr>
          <w:rFonts w:ascii="Arial" w:hAnsi="Arial" w:cs="Arial"/>
          <w:sz w:val="22"/>
          <w:szCs w:val="22"/>
        </w:rPr>
        <w:t>íla</w:t>
      </w:r>
      <w:r w:rsidR="009F207D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do </w:t>
      </w:r>
      <w:r w:rsidR="00CB1DFA">
        <w:rPr>
          <w:rFonts w:ascii="Arial" w:hAnsi="Arial" w:cs="Arial"/>
          <w:sz w:val="22"/>
          <w:szCs w:val="22"/>
        </w:rPr>
        <w:t>15. 11. 2024.</w:t>
      </w:r>
    </w:p>
    <w:p w14:paraId="07965649" w14:textId="1DC08089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 plnění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íla:</w:t>
      </w:r>
      <w:r w:rsidR="00977C0C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>katastrální území:</w:t>
      </w:r>
      <w:r w:rsidR="00CB1DFA">
        <w:rPr>
          <w:rFonts w:ascii="Arial" w:hAnsi="Arial" w:cs="Arial"/>
          <w:sz w:val="22"/>
          <w:szCs w:val="22"/>
        </w:rPr>
        <w:t xml:space="preserve"> Skryje nad Berounkou</w:t>
      </w:r>
      <w:r w:rsidR="00D6451F" w:rsidRPr="00014665">
        <w:rPr>
          <w:rFonts w:ascii="Arial" w:hAnsi="Arial" w:cs="Arial"/>
          <w:sz w:val="22"/>
          <w:szCs w:val="22"/>
        </w:rPr>
        <w:t>, okres:</w:t>
      </w:r>
      <w:r w:rsidR="00CB1DFA">
        <w:rPr>
          <w:rFonts w:ascii="Arial" w:hAnsi="Arial" w:cs="Arial"/>
          <w:sz w:val="22"/>
          <w:szCs w:val="22"/>
        </w:rPr>
        <w:t xml:space="preserve"> Rakovník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="00500B0F" w:rsidRPr="00014665">
        <w:rPr>
          <w:rFonts w:ascii="Arial" w:hAnsi="Arial" w:cs="Arial"/>
          <w:sz w:val="22"/>
          <w:szCs w:val="22"/>
        </w:rPr>
        <w:t>(</w:t>
      </w:r>
      <w:r w:rsidR="00D6451F" w:rsidRPr="00014665">
        <w:rPr>
          <w:rFonts w:ascii="Arial" w:hAnsi="Arial" w:cs="Arial"/>
          <w:sz w:val="22"/>
          <w:szCs w:val="22"/>
        </w:rPr>
        <w:t xml:space="preserve">viz </w:t>
      </w:r>
      <w:r w:rsidR="004A5B21" w:rsidRPr="00014665">
        <w:rPr>
          <w:rFonts w:ascii="Arial" w:hAnsi="Arial" w:cs="Arial"/>
          <w:sz w:val="22"/>
          <w:szCs w:val="22"/>
        </w:rPr>
        <w:t>P</w:t>
      </w:r>
      <w:r w:rsidR="00D6451F" w:rsidRPr="00014665">
        <w:rPr>
          <w:rFonts w:ascii="Arial" w:hAnsi="Arial" w:cs="Arial"/>
          <w:sz w:val="22"/>
          <w:szCs w:val="22"/>
        </w:rPr>
        <w:t xml:space="preserve">říloha č. </w:t>
      </w:r>
      <w:r w:rsidR="00CB1DFA">
        <w:rPr>
          <w:rFonts w:ascii="Arial" w:hAnsi="Arial" w:cs="Arial"/>
          <w:sz w:val="22"/>
          <w:szCs w:val="22"/>
        </w:rPr>
        <w:t>1</w:t>
      </w:r>
      <w:r w:rsidR="00500B0F" w:rsidRPr="00014665">
        <w:rPr>
          <w:rFonts w:ascii="Arial" w:hAnsi="Arial" w:cs="Arial"/>
          <w:sz w:val="22"/>
          <w:szCs w:val="22"/>
        </w:rPr>
        <w:t>).</w:t>
      </w:r>
    </w:p>
    <w:p w14:paraId="2D78EFEF" w14:textId="16F7DDC2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Dokončené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bude předáno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bjednateli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CB1D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1DFA">
        <w:rPr>
          <w:rFonts w:ascii="Arial" w:hAnsi="Arial" w:cs="Arial"/>
          <w:sz w:val="22"/>
          <w:szCs w:val="22"/>
        </w:rPr>
        <w:t>Lubenská</w:t>
      </w:r>
      <w:proofErr w:type="spellEnd"/>
      <w:r w:rsidR="00CB1DFA">
        <w:rPr>
          <w:rFonts w:ascii="Arial" w:hAnsi="Arial" w:cs="Arial"/>
          <w:sz w:val="22"/>
          <w:szCs w:val="22"/>
        </w:rPr>
        <w:t xml:space="preserve"> 2250, 269 01 Rakovník.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68801CA9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proofErr w:type="gramStart"/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</w:t>
      </w:r>
      <w:proofErr w:type="gramEnd"/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02FFD69B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íla. Záruční lhůta se stanovuje na 60 měsíců</w:t>
      </w:r>
      <w:r w:rsidR="2466BC29" w:rsidRPr="00014665">
        <w:rPr>
          <w:rFonts w:ascii="Arial" w:hAnsi="Arial" w:cs="Arial"/>
          <w:sz w:val="22"/>
          <w:szCs w:val="22"/>
        </w:rPr>
        <w:t xml:space="preserve"> </w:t>
      </w:r>
      <w:r w:rsidR="1ED011F6" w:rsidRPr="00014665">
        <w:rPr>
          <w:rFonts w:ascii="Arial" w:hAnsi="Arial" w:cs="Arial"/>
          <w:sz w:val="22"/>
          <w:szCs w:val="22"/>
        </w:rPr>
        <w:t xml:space="preserve">/ </w:t>
      </w:r>
      <w:r w:rsidRPr="00014665">
        <w:rPr>
          <w:rFonts w:ascii="Arial" w:hAnsi="Arial" w:cs="Arial"/>
          <w:sz w:val="22"/>
          <w:szCs w:val="22"/>
        </w:rPr>
        <w:t xml:space="preserve">od předání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</w:t>
      </w:r>
      <w:r w:rsidR="6BB58B3C" w:rsidRPr="00014665">
        <w:rPr>
          <w:rFonts w:ascii="Arial" w:hAnsi="Arial" w:cs="Arial"/>
          <w:sz w:val="22"/>
          <w:szCs w:val="22"/>
        </w:rPr>
        <w:lastRenderedPageBreak/>
        <w:t xml:space="preserve">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549EB19D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CB1DFA">
        <w:rPr>
          <w:rFonts w:ascii="Arial" w:hAnsi="Arial" w:cs="Arial"/>
          <w:sz w:val="22"/>
          <w:szCs w:val="22"/>
        </w:rPr>
        <w:t>30</w:t>
      </w:r>
      <w:r w:rsidR="00163AEF" w:rsidRPr="00014665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76512C34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336515">
        <w:rPr>
          <w:rFonts w:ascii="Arial" w:hAnsi="Arial" w:cs="Arial"/>
          <w:b/>
          <w:bCs/>
          <w:sz w:val="22"/>
          <w:szCs w:val="22"/>
        </w:rPr>
        <w:t>221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0CC94EA1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FE7C2C">
        <w:rPr>
          <w:rFonts w:ascii="Arial" w:hAnsi="Arial" w:cs="Arial"/>
          <w:b/>
          <w:sz w:val="22"/>
          <w:szCs w:val="22"/>
        </w:rPr>
        <w:t>799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48D3C199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FE7C2C">
        <w:rPr>
          <w:rFonts w:ascii="Arial" w:hAnsi="Arial" w:cs="Arial"/>
          <w:b/>
          <w:sz w:val="22"/>
          <w:szCs w:val="22"/>
        </w:rPr>
        <w:t>176 579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2BF3D1EA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FE7C2C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FE7C2C" w:rsidRPr="00556A8B">
        <w:rPr>
          <w:rFonts w:ascii="Arial" w:hAnsi="Arial" w:cs="Arial"/>
          <w:b/>
          <w:sz w:val="22"/>
          <w:szCs w:val="22"/>
          <w:u w:val="single"/>
        </w:rPr>
        <w:t>37</w:t>
      </w:r>
      <w:r w:rsidR="00C21582" w:rsidRPr="00556A8B">
        <w:rPr>
          <w:rFonts w:ascii="Arial" w:hAnsi="Arial" w:cs="Arial"/>
          <w:b/>
          <w:sz w:val="22"/>
          <w:szCs w:val="22"/>
          <w:u w:val="single"/>
        </w:rPr>
        <w:t> </w:t>
      </w:r>
      <w:r w:rsidR="00FE7C2C" w:rsidRPr="00556A8B">
        <w:rPr>
          <w:rFonts w:ascii="Arial" w:hAnsi="Arial" w:cs="Arial"/>
          <w:b/>
          <w:sz w:val="22"/>
          <w:szCs w:val="22"/>
          <w:u w:val="single"/>
        </w:rPr>
        <w:t>08</w:t>
      </w:r>
      <w:r w:rsidR="00C21582" w:rsidRPr="00556A8B">
        <w:rPr>
          <w:rFonts w:ascii="Arial" w:hAnsi="Arial" w:cs="Arial"/>
          <w:b/>
          <w:sz w:val="22"/>
          <w:szCs w:val="22"/>
          <w:u w:val="single"/>
        </w:rPr>
        <w:t>1,59</w:t>
      </w:r>
      <w:r w:rsidRPr="00556A8B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F8CB0FF" w14:textId="03D9B304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 xml:space="preserve">Celková </w:t>
      </w:r>
      <w:proofErr w:type="gramStart"/>
      <w:r w:rsidRPr="00014665">
        <w:rPr>
          <w:rFonts w:ascii="Arial" w:hAnsi="Arial" w:cs="Arial"/>
          <w:b/>
          <w:sz w:val="22"/>
          <w:szCs w:val="22"/>
          <w:u w:val="double"/>
        </w:rPr>
        <w:t>cena  s</w:t>
      </w:r>
      <w:proofErr w:type="gramEnd"/>
      <w:r w:rsidRPr="00014665">
        <w:rPr>
          <w:rFonts w:ascii="Arial" w:hAnsi="Arial" w:cs="Arial"/>
          <w:b/>
          <w:sz w:val="22"/>
          <w:szCs w:val="22"/>
          <w:u w:val="double"/>
        </w:rPr>
        <w:t xml:space="preserve">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FE7C2C">
        <w:rPr>
          <w:rFonts w:ascii="Arial" w:hAnsi="Arial" w:cs="Arial"/>
          <w:b/>
          <w:sz w:val="22"/>
          <w:szCs w:val="22"/>
          <w:u w:val="double"/>
        </w:rPr>
        <w:t>213</w:t>
      </w:r>
      <w:r w:rsidR="00556A8B">
        <w:rPr>
          <w:rFonts w:ascii="Arial" w:hAnsi="Arial" w:cs="Arial"/>
          <w:b/>
          <w:sz w:val="22"/>
          <w:szCs w:val="22"/>
          <w:u w:val="double"/>
        </w:rPr>
        <w:t> </w:t>
      </w:r>
      <w:r w:rsidR="00FE7C2C">
        <w:rPr>
          <w:rFonts w:ascii="Arial" w:hAnsi="Arial" w:cs="Arial"/>
          <w:b/>
          <w:sz w:val="22"/>
          <w:szCs w:val="22"/>
          <w:u w:val="double"/>
        </w:rPr>
        <w:t>66</w:t>
      </w:r>
      <w:r w:rsidR="00556A8B">
        <w:rPr>
          <w:rFonts w:ascii="Arial" w:hAnsi="Arial" w:cs="Arial"/>
          <w:b/>
          <w:sz w:val="22"/>
          <w:szCs w:val="22"/>
          <w:u w:val="double"/>
        </w:rPr>
        <w:t>0,59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26402985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proofErr w:type="spellStart"/>
      <w:r w:rsidR="00CB1DFA">
        <w:rPr>
          <w:rFonts w:ascii="Arial" w:hAnsi="Arial" w:cs="Arial"/>
          <w:b/>
          <w:snapToGrid w:val="0"/>
          <w:sz w:val="22"/>
          <w:szCs w:val="22"/>
        </w:rPr>
        <w:t>Středočský</w:t>
      </w:r>
      <w:proofErr w:type="spellEnd"/>
      <w:r w:rsidR="009F207D" w:rsidRPr="00014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kraj</w:t>
      </w:r>
      <w:r w:rsidR="00CB1DFA">
        <w:rPr>
          <w:rFonts w:ascii="Arial" w:hAnsi="Arial" w:cs="Arial"/>
          <w:b/>
          <w:snapToGrid w:val="0"/>
          <w:sz w:val="22"/>
          <w:szCs w:val="22"/>
        </w:rPr>
        <w:t xml:space="preserve"> a hlavní město Praha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Pobočka </w:t>
      </w:r>
      <w:r w:rsidR="00CB1DFA">
        <w:rPr>
          <w:rFonts w:ascii="Arial" w:hAnsi="Arial" w:cs="Arial"/>
          <w:b/>
          <w:snapToGrid w:val="0"/>
          <w:sz w:val="22"/>
          <w:szCs w:val="22"/>
        </w:rPr>
        <w:t>Rakovník</w:t>
      </w:r>
      <w:r w:rsidR="00F922E7" w:rsidRPr="00014665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14665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14665">
        <w:rPr>
          <w:rFonts w:ascii="Arial" w:hAnsi="Arial" w:cs="Arial"/>
          <w:snapToGrid w:val="0"/>
          <w:sz w:val="22"/>
          <w:szCs w:val="22"/>
        </w:rPr>
        <w:t>:</w:t>
      </w:r>
      <w:r w:rsidR="00CB1DFA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CB1DFA">
        <w:rPr>
          <w:rFonts w:ascii="Arial" w:hAnsi="Arial" w:cs="Arial"/>
          <w:snapToGrid w:val="0"/>
          <w:sz w:val="22"/>
          <w:szCs w:val="22"/>
        </w:rPr>
        <w:t>Lubenská</w:t>
      </w:r>
      <w:proofErr w:type="spellEnd"/>
      <w:r w:rsidR="00CB1DFA">
        <w:rPr>
          <w:rFonts w:ascii="Arial" w:hAnsi="Arial" w:cs="Arial"/>
          <w:snapToGrid w:val="0"/>
          <w:sz w:val="22"/>
          <w:szCs w:val="22"/>
        </w:rPr>
        <w:t xml:space="preserve"> 2250, 269 01 Rakovník.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49AF77BD" w14:textId="77777777" w:rsidR="00556A8B" w:rsidRPr="00014665" w:rsidRDefault="00556A8B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5ED329AC" w:rsidR="00C90564" w:rsidRPr="00556A8B" w:rsidRDefault="005343E4" w:rsidP="00556A8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157C594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E61920">
        <w:rPr>
          <w:rFonts w:ascii="Arial" w:hAnsi="Arial" w:cs="Arial"/>
          <w:sz w:val="22"/>
          <w:szCs w:val="22"/>
        </w:rPr>
        <w:t xml:space="preserve"> </w:t>
      </w:r>
      <w:r w:rsidR="00DF5372">
        <w:rPr>
          <w:rFonts w:ascii="Arial" w:hAnsi="Arial" w:cs="Arial"/>
          <w:sz w:val="22"/>
          <w:szCs w:val="22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556A8B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3A602A77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okrese</w:t>
      </w:r>
      <w:r w:rsidR="007B3747">
        <w:rPr>
          <w:rFonts w:ascii="Arial" w:hAnsi="Arial" w:cs="Arial"/>
          <w:sz w:val="22"/>
          <w:szCs w:val="22"/>
        </w:rPr>
        <w:t xml:space="preserve"> Rakovník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28AE6FD" w:rsidR="00C15359" w:rsidRPr="00014665" w:rsidRDefault="00C15359" w:rsidP="007A4206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="007A4206">
        <w:rPr>
          <w:rFonts w:ascii="Arial" w:hAnsi="Arial" w:cs="Arial"/>
          <w:b/>
          <w:sz w:val="22"/>
          <w:szCs w:val="22"/>
        </w:rPr>
        <w:t xml:space="preserve">                    </w:t>
      </w:r>
      <w:r w:rsidR="007A4206" w:rsidRPr="007A4206">
        <w:rPr>
          <w:rFonts w:ascii="Arial" w:hAnsi="Arial" w:cs="Arial"/>
          <w:b/>
          <w:sz w:val="22"/>
          <w:szCs w:val="22"/>
        </w:rPr>
        <w:t>GEO PROPERTY PLUS spol. s r.o.</w:t>
      </w:r>
    </w:p>
    <w:p w14:paraId="0780E320" w14:textId="0B7DB2BE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7A4206">
        <w:rPr>
          <w:rFonts w:ascii="Arial" w:hAnsi="Arial" w:cs="Arial"/>
          <w:sz w:val="22"/>
          <w:szCs w:val="22"/>
        </w:rPr>
        <w:t>Rakovník</w:t>
      </w:r>
      <w:r w:rsidRPr="00014665">
        <w:rPr>
          <w:rFonts w:ascii="Arial" w:hAnsi="Arial" w:cs="Arial"/>
          <w:sz w:val="22"/>
          <w:szCs w:val="22"/>
        </w:rPr>
        <w:tab/>
        <w:t>Místo:</w:t>
      </w:r>
      <w:r w:rsidR="00B63D73">
        <w:rPr>
          <w:rFonts w:ascii="Arial" w:hAnsi="Arial" w:cs="Arial"/>
          <w:sz w:val="22"/>
          <w:szCs w:val="22"/>
        </w:rPr>
        <w:t xml:space="preserve"> Řevnice</w:t>
      </w:r>
    </w:p>
    <w:p w14:paraId="79E19FDF" w14:textId="57B4C164" w:rsidR="00C15359" w:rsidRDefault="00C15359" w:rsidP="00B63D73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Datum: </w:t>
      </w:r>
      <w:r w:rsidR="00A01C37">
        <w:rPr>
          <w:rFonts w:ascii="Arial" w:hAnsi="Arial" w:cs="Arial"/>
          <w:sz w:val="22"/>
          <w:szCs w:val="22"/>
        </w:rPr>
        <w:t>11.7. 2024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Datum:</w:t>
      </w:r>
      <w:r w:rsidR="00B63D73">
        <w:rPr>
          <w:rFonts w:ascii="Arial" w:hAnsi="Arial" w:cs="Arial"/>
          <w:sz w:val="22"/>
          <w:szCs w:val="22"/>
        </w:rPr>
        <w:t xml:space="preserve"> </w:t>
      </w:r>
      <w:r w:rsidR="00A01C37">
        <w:rPr>
          <w:rFonts w:ascii="Arial" w:hAnsi="Arial" w:cs="Arial"/>
          <w:sz w:val="22"/>
          <w:szCs w:val="22"/>
        </w:rPr>
        <w:t>10. 7. 2024</w:t>
      </w:r>
    </w:p>
    <w:p w14:paraId="18BE90EF" w14:textId="77777777" w:rsidR="00B63D73" w:rsidRPr="00014665" w:rsidRDefault="00B63D73" w:rsidP="00B63D73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77777777" w:rsidR="00BB303E" w:rsidRPr="00014665" w:rsidRDefault="00BB303E" w:rsidP="00BB303E">
      <w:pPr>
        <w:rPr>
          <w:rFonts w:ascii="Arial" w:hAnsi="Arial" w:cs="Arial"/>
          <w:sz w:val="22"/>
          <w:szCs w:val="22"/>
        </w:rPr>
      </w:pP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5424B35C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Jméno:</w:t>
      </w:r>
      <w:r w:rsidR="00B63D73">
        <w:rPr>
          <w:rFonts w:ascii="Arial" w:hAnsi="Arial" w:cs="Arial"/>
          <w:sz w:val="22"/>
          <w:szCs w:val="22"/>
        </w:rPr>
        <w:t xml:space="preserve"> Ing. Silvie Römerová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B63D73">
        <w:rPr>
          <w:rFonts w:ascii="Arial" w:hAnsi="Arial" w:cs="Arial"/>
          <w:sz w:val="22"/>
          <w:szCs w:val="22"/>
        </w:rPr>
        <w:t>Kryštof</w:t>
      </w:r>
      <w:r w:rsidR="009F0A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0A5F">
        <w:rPr>
          <w:rFonts w:ascii="Arial" w:hAnsi="Arial" w:cs="Arial"/>
          <w:sz w:val="22"/>
          <w:szCs w:val="22"/>
        </w:rPr>
        <w:t>Kubricht</w:t>
      </w:r>
      <w:proofErr w:type="spellEnd"/>
    </w:p>
    <w:p w14:paraId="1F5A5897" w14:textId="0CEE0C96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B63D73">
        <w:rPr>
          <w:rFonts w:ascii="Arial" w:hAnsi="Arial" w:cs="Arial"/>
          <w:sz w:val="22"/>
          <w:szCs w:val="22"/>
        </w:rPr>
        <w:t>vedoucí Pobočky Rakovník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9F0A5F">
        <w:rPr>
          <w:rFonts w:ascii="Arial" w:hAnsi="Arial" w:cs="Arial"/>
          <w:sz w:val="22"/>
          <w:szCs w:val="22"/>
        </w:rPr>
        <w:t>jednatel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B2679E1" w14:textId="77777777" w:rsidR="008B50BB" w:rsidRDefault="008B50BB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2E973DC" w14:textId="4678828F" w:rsidR="00561BE8" w:rsidRDefault="00561BE8" w:rsidP="00B90274">
      <w:pPr>
        <w:spacing w:after="120"/>
        <w:ind w:left="0"/>
        <w:rPr>
          <w:rFonts w:ascii="Arial" w:hAnsi="Arial" w:cs="Arial"/>
          <w:i/>
          <w:iCs/>
          <w:sz w:val="22"/>
          <w:szCs w:val="22"/>
        </w:rPr>
      </w:pPr>
      <w:r w:rsidRPr="00561BE8">
        <w:rPr>
          <w:rFonts w:ascii="Arial" w:hAnsi="Arial" w:cs="Arial"/>
          <w:i/>
          <w:iCs/>
          <w:sz w:val="22"/>
          <w:szCs w:val="22"/>
        </w:rPr>
        <w:t>Administrátor smlouvy: Ing. Jan Šlajchrt</w:t>
      </w:r>
    </w:p>
    <w:tbl>
      <w:tblPr>
        <w:tblW w:w="9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100"/>
        <w:gridCol w:w="899"/>
        <w:gridCol w:w="1243"/>
        <w:gridCol w:w="1660"/>
        <w:gridCol w:w="1374"/>
        <w:gridCol w:w="68"/>
        <w:gridCol w:w="160"/>
      </w:tblGrid>
      <w:tr w:rsidR="00B974C2" w:rsidRPr="00B974C2" w14:paraId="63FA58CA" w14:textId="77777777" w:rsidTr="005D389C">
        <w:trPr>
          <w:gridAfter w:val="2"/>
          <w:wAfter w:w="228" w:type="dxa"/>
          <w:trHeight w:val="93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159901D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Arial Black" w:hAnsi="Arial Black" w:cs="Calibri"/>
                <w:color w:val="000000"/>
                <w:sz w:val="22"/>
                <w:szCs w:val="22"/>
              </w:rPr>
            </w:pPr>
            <w:r w:rsidRPr="00B974C2">
              <w:rPr>
                <w:rFonts w:ascii="Arial Black" w:hAnsi="Arial Black" w:cs="Calibri"/>
                <w:color w:val="000000"/>
                <w:sz w:val="22"/>
                <w:szCs w:val="22"/>
              </w:rPr>
              <w:lastRenderedPageBreak/>
              <w:t>VYTYČENÍ PO KOPÚ r. 2024 okres Rakovník</w:t>
            </w:r>
          </w:p>
        </w:tc>
      </w:tr>
      <w:tr w:rsidR="00B974C2" w:rsidRPr="00B974C2" w14:paraId="5DF868A3" w14:textId="77777777" w:rsidTr="005D389C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62D1654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974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k.ú</w:t>
            </w:r>
            <w:proofErr w:type="spellEnd"/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ABE4465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vlastník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052B327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podíl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FAFBE8E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LV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42E09D4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53BE55A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rozsah vytyčení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97A4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74C2" w:rsidRPr="00B974C2" w14:paraId="5D9741C8" w14:textId="77777777" w:rsidTr="005D389C">
        <w:trPr>
          <w:trHeight w:val="375"/>
        </w:trPr>
        <w:tc>
          <w:tcPr>
            <w:tcW w:w="20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D30B03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Skryje nad Berounkou</w:t>
            </w:r>
          </w:p>
        </w:tc>
        <w:tc>
          <w:tcPr>
            <w:tcW w:w="21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45A24BE" w14:textId="46B28CFA" w:rsidR="00B974C2" w:rsidRPr="00B974C2" w:rsidRDefault="00EF0A1E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8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1405EC5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D808BED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16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784CD34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144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C11004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celá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5846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74C2" w:rsidRPr="00B974C2" w14:paraId="3DC14336" w14:textId="77777777" w:rsidTr="005D389C">
        <w:trPr>
          <w:trHeight w:val="1200"/>
        </w:trPr>
        <w:tc>
          <w:tcPr>
            <w:tcW w:w="2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C37305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B2046BA" w14:textId="0E5FF097" w:rsidR="00B974C2" w:rsidRPr="00B974C2" w:rsidRDefault="00EF0A1E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464B74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C95A9C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A5F8BA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1252, 1152, 1163, 1164, 1270, 1273, 1373, 1368, 1308, 1326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043BA2E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celé pozemky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62E9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74C2" w:rsidRPr="00B974C2" w14:paraId="25651200" w14:textId="77777777" w:rsidTr="005D389C">
        <w:trPr>
          <w:trHeight w:val="915"/>
        </w:trPr>
        <w:tc>
          <w:tcPr>
            <w:tcW w:w="2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3C3BCB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3CEB808" w14:textId="202835BB" w:rsidR="00B974C2" w:rsidRPr="00B974C2" w:rsidRDefault="00EF0A1E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76EA38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041B9F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209, 500, 116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DA45BDB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1090, 1091, 1188, 1102, 1222, 1301, 1142, 1092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564CA22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celé pozemky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5191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74C2" w:rsidRPr="00B974C2" w14:paraId="69A700B3" w14:textId="77777777" w:rsidTr="005D389C">
        <w:trPr>
          <w:trHeight w:val="600"/>
        </w:trPr>
        <w:tc>
          <w:tcPr>
            <w:tcW w:w="2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705A40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E431155" w14:textId="646FCED3" w:rsidR="00B974C2" w:rsidRPr="00B974C2" w:rsidRDefault="00EF0A1E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FCB9AE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C0CD8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7335A2FE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1213, 1216, 1130, 1162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BAD305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celé pozemky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649E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74C2" w:rsidRPr="00B974C2" w14:paraId="24AB9DA1" w14:textId="77777777" w:rsidTr="005D389C">
        <w:trPr>
          <w:trHeight w:val="2295"/>
        </w:trPr>
        <w:tc>
          <w:tcPr>
            <w:tcW w:w="2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D2C43E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EBF69F9" w14:textId="6556F57A" w:rsidR="00B974C2" w:rsidRPr="00B974C2" w:rsidRDefault="00EF0A1E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30513B11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53CB33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24A73D12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1070, 1071, 1074, 1157, 1160, 1161, 1166, 1167, 1171, 1233, 1234, 1257, 1258, 1259, 1261, 1271, 1274, 1294, 1295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EDE9157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celé pozemky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7A1D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74C2" w:rsidRPr="00B974C2" w14:paraId="6D4A4668" w14:textId="77777777" w:rsidTr="005D389C">
        <w:trPr>
          <w:trHeight w:val="1500"/>
        </w:trPr>
        <w:tc>
          <w:tcPr>
            <w:tcW w:w="2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CADCF6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8BC168" w14:textId="045615B2" w:rsidR="00B974C2" w:rsidRPr="00B974C2" w:rsidRDefault="00EF0A1E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8765CE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59846E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D3A1559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1134, 1136, 1313, 1317, 1316, 1315, 1314, 1318, 1320, 1181, 1265, 1230, 1207, 1304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51E9AC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celé pozemky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4C85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74C2" w:rsidRPr="00B974C2" w14:paraId="4B41E3FF" w14:textId="77777777" w:rsidTr="005D389C">
        <w:trPr>
          <w:trHeight w:val="300"/>
        </w:trPr>
        <w:tc>
          <w:tcPr>
            <w:tcW w:w="2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7BF78B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FD481C4" w14:textId="7018099A" w:rsidR="00B974C2" w:rsidRPr="00B974C2" w:rsidRDefault="00EF0A1E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82EFC0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3497C1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AE9C62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B22A33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celá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D520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74C2" w:rsidRPr="00B974C2" w14:paraId="3604260C" w14:textId="77777777" w:rsidTr="005D389C">
        <w:trPr>
          <w:trHeight w:val="300"/>
        </w:trPr>
        <w:tc>
          <w:tcPr>
            <w:tcW w:w="2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D49065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AB4359B" w14:textId="2A771449" w:rsidR="00B974C2" w:rsidRPr="00B974C2" w:rsidRDefault="00EF0A1E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7936A6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32791C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5D1C37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1302, 1303, 1306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11012F8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celé pozemky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7548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74C2" w:rsidRPr="00B974C2" w14:paraId="05DA70B5" w14:textId="77777777" w:rsidTr="005D389C">
        <w:trPr>
          <w:trHeight w:val="735"/>
        </w:trPr>
        <w:tc>
          <w:tcPr>
            <w:tcW w:w="2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345A7F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B80A68E" w14:textId="750DB928" w:rsidR="00B974C2" w:rsidRPr="00B974C2" w:rsidRDefault="00EF0A1E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1828F6B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C4E332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44CE183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1229, 1155, 1112, 1310, 1311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4742B17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celé pozemky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FCA8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74C2" w:rsidRPr="00B974C2" w14:paraId="337AF6DD" w14:textId="77777777" w:rsidTr="005D389C">
        <w:trPr>
          <w:trHeight w:val="300"/>
        </w:trPr>
        <w:tc>
          <w:tcPr>
            <w:tcW w:w="20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2281A8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ED4E2D2" w14:textId="31EC1F90" w:rsidR="00B974C2" w:rsidRPr="00B974C2" w:rsidRDefault="00EF0A1E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0E757E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BE4F7F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8FC841E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1154, 1194, 1193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654998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74C2">
              <w:rPr>
                <w:rFonts w:ascii="Calibri" w:hAnsi="Calibri" w:cs="Calibri"/>
                <w:color w:val="000000"/>
                <w:sz w:val="22"/>
                <w:szCs w:val="22"/>
              </w:rPr>
              <w:t>celé pozemky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05C4" w14:textId="77777777" w:rsidR="00B974C2" w:rsidRPr="00B974C2" w:rsidRDefault="00B974C2" w:rsidP="00B974C2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74C2" w:rsidRPr="00B974C2" w14:paraId="181EE14E" w14:textId="77777777" w:rsidTr="005D389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3AC7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AA81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D1E7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9037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6D38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ABA7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E2E3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</w:tr>
      <w:tr w:rsidR="00B974C2" w:rsidRPr="00B974C2" w14:paraId="5989AF5B" w14:textId="77777777" w:rsidTr="005D389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21B5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1BAF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D706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E1D6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B4B9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D8DA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ED27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</w:tr>
      <w:tr w:rsidR="00B974C2" w:rsidRPr="00B974C2" w14:paraId="3B68BCA7" w14:textId="77777777" w:rsidTr="005D389C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2D1F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C9CA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27D1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6A3F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CD41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EC55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8225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</w:tr>
      <w:tr w:rsidR="00B974C2" w:rsidRPr="00B974C2" w14:paraId="7ACFE1A7" w14:textId="77777777" w:rsidTr="005D389C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hideMark/>
          </w:tcPr>
          <w:p w14:paraId="3C1A2C22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Arial Black" w:hAnsi="Arial Black" w:cs="Calibri"/>
                <w:b/>
                <w:bCs/>
                <w:color w:val="000000"/>
                <w:sz w:val="22"/>
                <w:szCs w:val="22"/>
              </w:rPr>
            </w:pPr>
            <w:r w:rsidRPr="00B974C2">
              <w:rPr>
                <w:rFonts w:ascii="Arial Black" w:hAnsi="Arial Black" w:cs="Calibri"/>
                <w:b/>
                <w:bCs/>
                <w:color w:val="000000"/>
                <w:sz w:val="22"/>
                <w:szCs w:val="22"/>
              </w:rPr>
              <w:t xml:space="preserve">MJ celkem   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E98B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Arial Black" w:hAnsi="Arial Black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677D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1920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BE10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32B3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AA10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</w:tr>
      <w:tr w:rsidR="00B974C2" w:rsidRPr="00B974C2" w14:paraId="53BD7B23" w14:textId="77777777" w:rsidTr="005D389C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410CC91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Arial Black" w:hAnsi="Arial Black" w:cs="Calibri"/>
                <w:b/>
                <w:bCs/>
                <w:color w:val="000000"/>
                <w:sz w:val="22"/>
                <w:szCs w:val="22"/>
              </w:rPr>
            </w:pPr>
            <w:r w:rsidRPr="00B974C2">
              <w:rPr>
                <w:rFonts w:ascii="Arial Black" w:hAnsi="Arial Black" w:cs="Calibri"/>
                <w:b/>
                <w:bCs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84C1" w14:textId="77777777" w:rsidR="00B974C2" w:rsidRPr="00B974C2" w:rsidRDefault="00B974C2" w:rsidP="00B974C2">
            <w:pPr>
              <w:spacing w:before="0"/>
              <w:ind w:left="0"/>
              <w:jc w:val="center"/>
              <w:rPr>
                <w:rFonts w:ascii="Arial Black" w:hAnsi="Arial Black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D526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085F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D7D7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16D7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17BD" w14:textId="77777777" w:rsidR="00B974C2" w:rsidRPr="00B974C2" w:rsidRDefault="00B974C2" w:rsidP="00B974C2">
            <w:pPr>
              <w:spacing w:before="0"/>
              <w:ind w:left="0"/>
              <w:jc w:val="left"/>
            </w:pPr>
          </w:p>
        </w:tc>
      </w:tr>
    </w:tbl>
    <w:p w14:paraId="0A842C2A" w14:textId="77777777" w:rsidR="00B974C2" w:rsidRPr="00561BE8" w:rsidRDefault="00B974C2" w:rsidP="00B90274">
      <w:pPr>
        <w:spacing w:after="120"/>
        <w:ind w:left="0"/>
        <w:rPr>
          <w:rFonts w:ascii="Arial" w:hAnsi="Arial" w:cs="Arial"/>
          <w:i/>
          <w:iCs/>
          <w:sz w:val="22"/>
          <w:szCs w:val="22"/>
        </w:rPr>
      </w:pPr>
    </w:p>
    <w:sectPr w:rsidR="00B974C2" w:rsidRPr="00561BE8" w:rsidSect="00A10967"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9AEB" w14:textId="77777777" w:rsidR="00152019" w:rsidRDefault="00152019" w:rsidP="003C2E23">
      <w:pPr>
        <w:spacing w:before="0"/>
      </w:pPr>
      <w:r>
        <w:separator/>
      </w:r>
    </w:p>
  </w:endnote>
  <w:endnote w:type="continuationSeparator" w:id="0">
    <w:p w14:paraId="6EB6FE29" w14:textId="77777777" w:rsidR="00152019" w:rsidRDefault="00152019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026D" w14:textId="77777777" w:rsidR="00152019" w:rsidRDefault="00152019" w:rsidP="003C2E23">
      <w:pPr>
        <w:spacing w:before="0"/>
      </w:pPr>
      <w:r>
        <w:separator/>
      </w:r>
    </w:p>
  </w:footnote>
  <w:footnote w:type="continuationSeparator" w:id="0">
    <w:p w14:paraId="59F7C819" w14:textId="77777777" w:rsidR="00152019" w:rsidRDefault="00152019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7FC9E4AD" w:rsidR="00FF0C21" w:rsidRPr="00FF7DBF" w:rsidRDefault="00FF0C21" w:rsidP="00844004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0F3614" w:rsidRPr="00844004">
      <w:rPr>
        <w:rFonts w:ascii="Arial" w:hAnsi="Arial" w:cs="Arial"/>
        <w:sz w:val="16"/>
        <w:szCs w:val="16"/>
      </w:rPr>
      <w:t>658-2024-537213</w:t>
    </w:r>
  </w:p>
  <w:p w14:paraId="12A62E41" w14:textId="7F56BB80" w:rsidR="00FF0C21" w:rsidRDefault="00FF0C21" w:rsidP="00844004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6261F1">
      <w:rPr>
        <w:rFonts w:ascii="Arial" w:hAnsi="Arial" w:cs="Arial"/>
        <w:sz w:val="16"/>
        <w:szCs w:val="16"/>
      </w:rPr>
      <w:t xml:space="preserve"> </w:t>
    </w:r>
    <w:r w:rsidR="00520758">
      <w:rPr>
        <w:rFonts w:ascii="Arial" w:hAnsi="Arial" w:cs="Arial"/>
        <w:sz w:val="16"/>
        <w:szCs w:val="16"/>
      </w:rPr>
      <w:t>007/24</w:t>
    </w:r>
  </w:p>
  <w:p w14:paraId="06C33C14" w14:textId="74845055" w:rsidR="000F3614" w:rsidRDefault="000F3614" w:rsidP="00844004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Č.j. Objednatele: SPU 2699906/2024</w:t>
    </w:r>
  </w:p>
  <w:p w14:paraId="0C492D63" w14:textId="0D12255A" w:rsidR="00FF0C21" w:rsidRPr="00DC4D21" w:rsidRDefault="00844004" w:rsidP="00B25718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6"/>
        <w:szCs w:val="16"/>
      </w:rPr>
    </w:pPr>
    <w:r w:rsidRPr="00844004">
      <w:rPr>
        <w:rFonts w:ascii="Arial" w:hAnsi="Arial" w:cs="Arial"/>
        <w:sz w:val="16"/>
        <w:szCs w:val="16"/>
      </w:rPr>
      <w:t>UID Objednatele: spudms00000014715777</w:t>
    </w:r>
  </w:p>
  <w:p w14:paraId="30283B4E" w14:textId="06C53E3B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251A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D2398"/>
    <w:rsid w:val="000D5235"/>
    <w:rsid w:val="000D6FE7"/>
    <w:rsid w:val="000D768E"/>
    <w:rsid w:val="000E11EC"/>
    <w:rsid w:val="000E5BEB"/>
    <w:rsid w:val="000E7B4A"/>
    <w:rsid w:val="000F3614"/>
    <w:rsid w:val="000F5968"/>
    <w:rsid w:val="000F60E7"/>
    <w:rsid w:val="0010300D"/>
    <w:rsid w:val="001043B7"/>
    <w:rsid w:val="001044FF"/>
    <w:rsid w:val="001055C0"/>
    <w:rsid w:val="0010606F"/>
    <w:rsid w:val="001100DA"/>
    <w:rsid w:val="0011204B"/>
    <w:rsid w:val="00114696"/>
    <w:rsid w:val="00114738"/>
    <w:rsid w:val="001179D9"/>
    <w:rsid w:val="00133EE5"/>
    <w:rsid w:val="00134A9C"/>
    <w:rsid w:val="001358CF"/>
    <w:rsid w:val="00143111"/>
    <w:rsid w:val="00145065"/>
    <w:rsid w:val="00147577"/>
    <w:rsid w:val="0015097E"/>
    <w:rsid w:val="00152019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928"/>
    <w:rsid w:val="001A2E35"/>
    <w:rsid w:val="001B0CE6"/>
    <w:rsid w:val="001B10F6"/>
    <w:rsid w:val="001B7512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2A98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50D9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7747"/>
    <w:rsid w:val="00336515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8133B"/>
    <w:rsid w:val="00385DC6"/>
    <w:rsid w:val="003948A1"/>
    <w:rsid w:val="00396E0D"/>
    <w:rsid w:val="003A299C"/>
    <w:rsid w:val="003A3E8B"/>
    <w:rsid w:val="003A6840"/>
    <w:rsid w:val="003B1DCA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E5EEC"/>
    <w:rsid w:val="003E61DB"/>
    <w:rsid w:val="003F24F7"/>
    <w:rsid w:val="00406B4F"/>
    <w:rsid w:val="00406BA3"/>
    <w:rsid w:val="0041374A"/>
    <w:rsid w:val="00417014"/>
    <w:rsid w:val="00421DA7"/>
    <w:rsid w:val="0042388F"/>
    <w:rsid w:val="0042404C"/>
    <w:rsid w:val="004269C6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3687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442C"/>
    <w:rsid w:val="0050695B"/>
    <w:rsid w:val="0051260C"/>
    <w:rsid w:val="00514AFE"/>
    <w:rsid w:val="0051542E"/>
    <w:rsid w:val="00515DB3"/>
    <w:rsid w:val="005174F6"/>
    <w:rsid w:val="00520758"/>
    <w:rsid w:val="00521999"/>
    <w:rsid w:val="00526222"/>
    <w:rsid w:val="00527B62"/>
    <w:rsid w:val="005343E4"/>
    <w:rsid w:val="00545EC8"/>
    <w:rsid w:val="005471E0"/>
    <w:rsid w:val="00553136"/>
    <w:rsid w:val="00556A8B"/>
    <w:rsid w:val="00560039"/>
    <w:rsid w:val="00561BE8"/>
    <w:rsid w:val="00563793"/>
    <w:rsid w:val="00563F87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109E"/>
    <w:rsid w:val="005A1213"/>
    <w:rsid w:val="005A457D"/>
    <w:rsid w:val="005A5A6A"/>
    <w:rsid w:val="005B6735"/>
    <w:rsid w:val="005C0149"/>
    <w:rsid w:val="005C24EC"/>
    <w:rsid w:val="005C64D9"/>
    <w:rsid w:val="005D05CC"/>
    <w:rsid w:val="005D2927"/>
    <w:rsid w:val="005D389C"/>
    <w:rsid w:val="005E362D"/>
    <w:rsid w:val="005E4A68"/>
    <w:rsid w:val="005F38B8"/>
    <w:rsid w:val="005F4DB0"/>
    <w:rsid w:val="0061170B"/>
    <w:rsid w:val="00613A2F"/>
    <w:rsid w:val="006261F1"/>
    <w:rsid w:val="00626C53"/>
    <w:rsid w:val="0063482B"/>
    <w:rsid w:val="006364C6"/>
    <w:rsid w:val="006422C8"/>
    <w:rsid w:val="00643337"/>
    <w:rsid w:val="00644DF0"/>
    <w:rsid w:val="0065124B"/>
    <w:rsid w:val="00651E89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902C6"/>
    <w:rsid w:val="006A16B6"/>
    <w:rsid w:val="006A2316"/>
    <w:rsid w:val="006A6A69"/>
    <w:rsid w:val="006B2EE2"/>
    <w:rsid w:val="006B7D60"/>
    <w:rsid w:val="006D0149"/>
    <w:rsid w:val="006D681C"/>
    <w:rsid w:val="006E0028"/>
    <w:rsid w:val="006E4835"/>
    <w:rsid w:val="006F0948"/>
    <w:rsid w:val="00704C0E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927EB"/>
    <w:rsid w:val="00794DBB"/>
    <w:rsid w:val="00797092"/>
    <w:rsid w:val="00797D0E"/>
    <w:rsid w:val="007A2DAA"/>
    <w:rsid w:val="007A4206"/>
    <w:rsid w:val="007A64CD"/>
    <w:rsid w:val="007B0D2A"/>
    <w:rsid w:val="007B3747"/>
    <w:rsid w:val="007B6BC5"/>
    <w:rsid w:val="007C0C74"/>
    <w:rsid w:val="007C159F"/>
    <w:rsid w:val="007C180B"/>
    <w:rsid w:val="007C4D0C"/>
    <w:rsid w:val="007D4920"/>
    <w:rsid w:val="007E24DE"/>
    <w:rsid w:val="007E7A67"/>
    <w:rsid w:val="007F6D2D"/>
    <w:rsid w:val="007F72CC"/>
    <w:rsid w:val="00812748"/>
    <w:rsid w:val="00815B19"/>
    <w:rsid w:val="008206C6"/>
    <w:rsid w:val="008211F8"/>
    <w:rsid w:val="00825CE3"/>
    <w:rsid w:val="00825EB6"/>
    <w:rsid w:val="00827422"/>
    <w:rsid w:val="00831524"/>
    <w:rsid w:val="008334A0"/>
    <w:rsid w:val="008345B9"/>
    <w:rsid w:val="00844004"/>
    <w:rsid w:val="008517BD"/>
    <w:rsid w:val="0085340C"/>
    <w:rsid w:val="00857A74"/>
    <w:rsid w:val="00865147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427AC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C090B"/>
    <w:rsid w:val="009C4B5C"/>
    <w:rsid w:val="009C5EB7"/>
    <w:rsid w:val="009D0C34"/>
    <w:rsid w:val="009D4450"/>
    <w:rsid w:val="009D61F0"/>
    <w:rsid w:val="009E0440"/>
    <w:rsid w:val="009F0A5F"/>
    <w:rsid w:val="009F162B"/>
    <w:rsid w:val="009F207D"/>
    <w:rsid w:val="009F54BE"/>
    <w:rsid w:val="00A01C37"/>
    <w:rsid w:val="00A03267"/>
    <w:rsid w:val="00A03EF0"/>
    <w:rsid w:val="00A075C0"/>
    <w:rsid w:val="00A10967"/>
    <w:rsid w:val="00A245BA"/>
    <w:rsid w:val="00A269F7"/>
    <w:rsid w:val="00A30CA7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1CD"/>
    <w:rsid w:val="00A77FC7"/>
    <w:rsid w:val="00A8010F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2052C"/>
    <w:rsid w:val="00B243E5"/>
    <w:rsid w:val="00B24B48"/>
    <w:rsid w:val="00B25718"/>
    <w:rsid w:val="00B26FC9"/>
    <w:rsid w:val="00B33054"/>
    <w:rsid w:val="00B33B52"/>
    <w:rsid w:val="00B40096"/>
    <w:rsid w:val="00B467FB"/>
    <w:rsid w:val="00B51C4C"/>
    <w:rsid w:val="00B5778D"/>
    <w:rsid w:val="00B63D73"/>
    <w:rsid w:val="00B649BB"/>
    <w:rsid w:val="00B654CB"/>
    <w:rsid w:val="00B721A9"/>
    <w:rsid w:val="00B7660C"/>
    <w:rsid w:val="00B768A0"/>
    <w:rsid w:val="00B77CF7"/>
    <w:rsid w:val="00B817EB"/>
    <w:rsid w:val="00B8444D"/>
    <w:rsid w:val="00B90274"/>
    <w:rsid w:val="00B91F41"/>
    <w:rsid w:val="00B9585D"/>
    <w:rsid w:val="00B974C2"/>
    <w:rsid w:val="00BA3D97"/>
    <w:rsid w:val="00BA476E"/>
    <w:rsid w:val="00BA50E2"/>
    <w:rsid w:val="00BB156E"/>
    <w:rsid w:val="00BB303E"/>
    <w:rsid w:val="00BC6261"/>
    <w:rsid w:val="00BC6A31"/>
    <w:rsid w:val="00BC6F9C"/>
    <w:rsid w:val="00BD4F5D"/>
    <w:rsid w:val="00BE0C70"/>
    <w:rsid w:val="00BF0628"/>
    <w:rsid w:val="00BF373E"/>
    <w:rsid w:val="00C05583"/>
    <w:rsid w:val="00C15359"/>
    <w:rsid w:val="00C2000D"/>
    <w:rsid w:val="00C21582"/>
    <w:rsid w:val="00C246A4"/>
    <w:rsid w:val="00C323A0"/>
    <w:rsid w:val="00C32683"/>
    <w:rsid w:val="00C34013"/>
    <w:rsid w:val="00C43AD5"/>
    <w:rsid w:val="00C4519C"/>
    <w:rsid w:val="00C52227"/>
    <w:rsid w:val="00C60D2B"/>
    <w:rsid w:val="00C6184E"/>
    <w:rsid w:val="00C70585"/>
    <w:rsid w:val="00C83F27"/>
    <w:rsid w:val="00C90564"/>
    <w:rsid w:val="00CA2120"/>
    <w:rsid w:val="00CA7CD0"/>
    <w:rsid w:val="00CB1DFA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3488C"/>
    <w:rsid w:val="00D34B0D"/>
    <w:rsid w:val="00D35738"/>
    <w:rsid w:val="00D42D02"/>
    <w:rsid w:val="00D44B76"/>
    <w:rsid w:val="00D6451F"/>
    <w:rsid w:val="00D75D18"/>
    <w:rsid w:val="00D76C86"/>
    <w:rsid w:val="00D808C3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11F4"/>
    <w:rsid w:val="00DD23A8"/>
    <w:rsid w:val="00DD5D8D"/>
    <w:rsid w:val="00DE57F2"/>
    <w:rsid w:val="00DE7447"/>
    <w:rsid w:val="00DF4F34"/>
    <w:rsid w:val="00DF5372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432A0"/>
    <w:rsid w:val="00E469C3"/>
    <w:rsid w:val="00E475DA"/>
    <w:rsid w:val="00E5142C"/>
    <w:rsid w:val="00E533F8"/>
    <w:rsid w:val="00E547BE"/>
    <w:rsid w:val="00E61920"/>
    <w:rsid w:val="00E702AD"/>
    <w:rsid w:val="00E707C5"/>
    <w:rsid w:val="00E70AD2"/>
    <w:rsid w:val="00E70C1A"/>
    <w:rsid w:val="00E71176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0A1E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79C8"/>
    <w:rsid w:val="00F70D9F"/>
    <w:rsid w:val="00F74078"/>
    <w:rsid w:val="00F81E37"/>
    <w:rsid w:val="00F84A9A"/>
    <w:rsid w:val="00F922D5"/>
    <w:rsid w:val="00F922E7"/>
    <w:rsid w:val="00F92935"/>
    <w:rsid w:val="00F933CD"/>
    <w:rsid w:val="00FB0298"/>
    <w:rsid w:val="00FB03D1"/>
    <w:rsid w:val="00FB2675"/>
    <w:rsid w:val="00FB28EB"/>
    <w:rsid w:val="00FB6FC9"/>
    <w:rsid w:val="00FD4817"/>
    <w:rsid w:val="00FD6780"/>
    <w:rsid w:val="00FE1667"/>
    <w:rsid w:val="00FE7C2C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4914</Words>
  <Characters>28993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Šlajchrt Jan Ing.</cp:lastModifiedBy>
  <cp:revision>46</cp:revision>
  <cp:lastPrinted>2024-07-10T11:38:00Z</cp:lastPrinted>
  <dcterms:created xsi:type="dcterms:W3CDTF">2023-06-13T11:03:00Z</dcterms:created>
  <dcterms:modified xsi:type="dcterms:W3CDTF">2024-07-12T05:40:00Z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