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Prováděcí smlouvy o dílo uzavřené na základě</w:t>
        <w:br/>
        <w:t>rámcové dohody na geodetické služby I. část,</w:t>
        <w:br/>
        <w:t>č. 33/2023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1161/2023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64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„VT PBP Otročínského potoka U Neprašovského rybníka - revitalizace“</w:t>
        <w:br/>
        <w:t>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„VT PBP 01 severozápadně od Měchova – revitalizace“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GEOVIA s.r.o.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Židovice 128, 411 83 Židovice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883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86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94" w:bottom="142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Společnost je zapsána v obchodním rejstříku u Krajského soudu v Ústí nad Labem v oddílu C, vložce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22071.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88" w:lineRule="auto"/>
        <w:ind w:left="0" w:right="0" w:firstLine="612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č. 1161/2023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úpravy zákresu hranice trvalého záboru ze strany projektanta.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bod 1.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 plnění</w:t>
      </w:r>
      <w:bookmarkEnd w:id="0"/>
      <w:bookmarkEnd w:id="1"/>
      <w:bookmarkEnd w:id="2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0"/>
      <w:bookmarkEnd w:id="1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bude ke kontrole předáno zhotovitelem objednateli v místě plnění díla v termínu: do 31.03.2024.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Následně bude provedeno dopracování geometrických plánů a podání na katastrální úřad – předání ověřených geometrických plánů do 01.07.2024.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Nové znění: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Dílo bude ke kontrole předáno zhotovitelem objednateli v místě plnění díla v termínu: do 31.03.2024.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Následně bude provedeno dopracování geometrických plánů a podání na katastrální úřad – předání ověřených geometrických plánů do 30.09.2024.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9" w:val="left"/>
        </w:tabs>
        <w:bidi w:val="0"/>
        <w:spacing w:before="0" w:after="20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9" w:val="left"/>
        </w:tabs>
        <w:bidi w:val="0"/>
        <w:spacing w:before="0" w:after="200" w:line="240" w:lineRule="auto"/>
        <w:ind w:left="440" w:right="0" w:hanging="4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9" w:val="left"/>
        </w:tabs>
        <w:bidi w:val="0"/>
        <w:spacing w:before="0" w:after="20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440" w:right="0" w:hanging="44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921" w:header="229" w:footer="3" w:gutter="0"/>
          <w:cols w:space="720"/>
          <w:noEndnote/>
          <w:rtlGutter w:val="0"/>
          <w:docGrid w:linePitch="360"/>
        </w:sectPr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9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Židovicích dne: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421" w:bottom="1921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ekonomický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394" w:right="2364" w:bottom="1420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GEOVIA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57" w:left="1394" w:right="2364" w:bottom="1420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4771390</wp:posOffset>
              </wp:positionH>
              <wp:positionV relativeFrom="page">
                <wp:posOffset>435610</wp:posOffset>
              </wp:positionV>
              <wp:extent cx="188976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8976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č. 1161/2023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69999999999999pt;margin-top:34.300000000000004pt;width:148.8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č. 1161/2023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