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5005" w:rsidRDefault="00D85005">
      <w:pPr>
        <w:pStyle w:val="0Nzevsmlouvy-nejvyssiroven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Dodatek č. 1 kupní smlouvy č. SML/0266/23</w:t>
      </w:r>
    </w:p>
    <w:p w:rsidR="00D85005" w:rsidRDefault="00D85005">
      <w:pPr>
        <w:pStyle w:val="tex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(dále jen „Dodatek“)</w:t>
      </w:r>
    </w:p>
    <w:p w:rsidR="00D85005" w:rsidRDefault="00D85005">
      <w:pPr>
        <w:pStyle w:val="tex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číslo dodatku: SML/0266/23-1</w:t>
      </w:r>
    </w:p>
    <w:p w:rsidR="00D85005" w:rsidRDefault="00D85005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>uzavřená podle ustanovení § 2079 a následujících zákona č. 89/2012 Sb., ve znění pozdějších předpisů, následovně:</w:t>
      </w:r>
    </w:p>
    <w:p w:rsidR="00D85005" w:rsidRDefault="00D85005">
      <w:pPr>
        <w:pStyle w:val="11uroven"/>
        <w:tabs>
          <w:tab w:val="clear" w:pos="363"/>
        </w:tabs>
        <w:spacing w:before="0" w:after="0"/>
        <w:ind w:left="0" w:firstLine="0"/>
        <w:rPr>
          <w:rFonts w:ascii="Arial" w:hAnsi="Arial" w:cs="Arial"/>
        </w:rPr>
      </w:pPr>
    </w:p>
    <w:p w:rsidR="00D85005" w:rsidRDefault="00D85005">
      <w:pPr>
        <w:pStyle w:val="11uroven"/>
        <w:tabs>
          <w:tab w:val="clear" w:pos="363"/>
        </w:tabs>
        <w:spacing w:before="0" w:after="0"/>
        <w:ind w:left="0" w:firstLine="0"/>
        <w:jc w:val="center"/>
        <w:rPr>
          <w:rFonts w:ascii="Arial" w:hAnsi="Arial" w:cs="Arial"/>
        </w:rPr>
      </w:pPr>
    </w:p>
    <w:p w:rsidR="00D85005" w:rsidRDefault="00D85005">
      <w:pPr>
        <w:pStyle w:val="11uroven"/>
        <w:tabs>
          <w:tab w:val="clear" w:pos="363"/>
        </w:tabs>
        <w:spacing w:before="0" w:after="0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I. Smluvní strany</w:t>
      </w:r>
    </w:p>
    <w:p w:rsidR="00D85005" w:rsidRDefault="00D85005">
      <w:pPr>
        <w:pStyle w:val="11uroven"/>
        <w:tabs>
          <w:tab w:val="clear" w:pos="363"/>
        </w:tabs>
        <w:spacing w:before="0" w:after="0"/>
        <w:ind w:left="0" w:firstLine="0"/>
        <w:jc w:val="center"/>
        <w:rPr>
          <w:rFonts w:ascii="Arial" w:hAnsi="Arial" w:cs="Arial"/>
        </w:rPr>
      </w:pPr>
    </w:p>
    <w:p w:rsidR="00B52CEC" w:rsidRDefault="00B52CEC">
      <w:pPr>
        <w:pStyle w:val="22uroven"/>
        <w:tabs>
          <w:tab w:val="clear" w:pos="363"/>
        </w:tabs>
        <w:spacing w:before="0" w:after="0"/>
        <w:ind w:left="0" w:firstLine="0"/>
        <w:rPr>
          <w:rFonts w:ascii="Arial" w:hAnsi="Arial" w:cs="Arial"/>
        </w:rPr>
      </w:pPr>
    </w:p>
    <w:p w:rsidR="00D85005" w:rsidRDefault="00D85005">
      <w:pPr>
        <w:pStyle w:val="22uroven"/>
        <w:tabs>
          <w:tab w:val="clear" w:pos="363"/>
        </w:tabs>
        <w:spacing w:before="0"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Prodávající: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4"/>
        <w:gridCol w:w="945"/>
        <w:gridCol w:w="174"/>
        <w:gridCol w:w="7167"/>
        <w:gridCol w:w="78"/>
        <w:gridCol w:w="96"/>
        <w:gridCol w:w="78"/>
      </w:tblGrid>
      <w:tr w:rsidR="00D85005" w:rsidTr="00B52CEC">
        <w:trPr>
          <w:gridAfter w:val="2"/>
          <w:wAfter w:w="174" w:type="dxa"/>
        </w:trPr>
        <w:tc>
          <w:tcPr>
            <w:tcW w:w="1119" w:type="dxa"/>
            <w:gridSpan w:val="2"/>
            <w:shd w:val="clear" w:color="auto" w:fill="auto"/>
          </w:tcPr>
          <w:p w:rsidR="00D85005" w:rsidRDefault="00D85005" w:rsidP="00B52CEC">
            <w:pPr>
              <w:pStyle w:val="text"/>
              <w:snapToGrid w:val="0"/>
              <w:spacing w:before="0"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3"/>
            <w:shd w:val="clear" w:color="auto" w:fill="auto"/>
          </w:tcPr>
          <w:p w:rsidR="00D85005" w:rsidRDefault="00B52CEC" w:rsidP="00B52CEC">
            <w:pPr>
              <w:pStyle w:val="text"/>
              <w:spacing w:before="0" w:after="0"/>
              <w:jc w:val="left"/>
            </w:pPr>
            <w:r>
              <w:rPr>
                <w:rFonts w:ascii="Arial" w:hAnsi="Arial" w:cs="Arial"/>
              </w:rPr>
              <w:t xml:space="preserve">          </w:t>
            </w:r>
            <w:r w:rsidR="00D85005">
              <w:rPr>
                <w:rFonts w:ascii="Arial" w:hAnsi="Arial" w:cs="Arial"/>
              </w:rPr>
              <w:t>FORNAL trading s.r.o.</w:t>
            </w:r>
          </w:p>
        </w:tc>
      </w:tr>
      <w:tr w:rsidR="00D85005" w:rsidTr="00B52CEC">
        <w:trPr>
          <w:gridBefore w:val="1"/>
          <w:wBefore w:w="174" w:type="dxa"/>
        </w:trPr>
        <w:tc>
          <w:tcPr>
            <w:tcW w:w="1119" w:type="dxa"/>
            <w:gridSpan w:val="2"/>
            <w:shd w:val="clear" w:color="auto" w:fill="auto"/>
          </w:tcPr>
          <w:p w:rsidR="00D85005" w:rsidRDefault="00D85005" w:rsidP="00B52CEC">
            <w:pPr>
              <w:pStyle w:val="text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  <w:r w:rsidR="00B52CEC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7419" w:type="dxa"/>
            <w:gridSpan w:val="4"/>
            <w:shd w:val="clear" w:color="auto" w:fill="auto"/>
          </w:tcPr>
          <w:p w:rsidR="00D85005" w:rsidRDefault="00B52CEC" w:rsidP="00B52CEC">
            <w:pPr>
              <w:pStyle w:val="text"/>
              <w:spacing w:before="0" w:after="0"/>
              <w:jc w:val="left"/>
            </w:pPr>
            <w:r>
              <w:rPr>
                <w:rFonts w:ascii="Arial" w:hAnsi="Arial" w:cs="Arial"/>
              </w:rPr>
              <w:t xml:space="preserve">       </w:t>
            </w:r>
            <w:r w:rsidR="00D85005">
              <w:rPr>
                <w:rFonts w:ascii="Arial" w:hAnsi="Arial" w:cs="Arial"/>
              </w:rPr>
              <w:t>Měrůtky 80, 767 01 Lutopecny</w:t>
            </w:r>
          </w:p>
        </w:tc>
      </w:tr>
      <w:tr w:rsidR="00D85005" w:rsidTr="00B52CEC">
        <w:tblPrEx>
          <w:tblCellMar>
            <w:left w:w="0" w:type="dxa"/>
            <w:right w:w="0" w:type="dxa"/>
          </w:tblCellMar>
        </w:tblPrEx>
        <w:trPr>
          <w:gridBefore w:val="1"/>
          <w:wBefore w:w="174" w:type="dxa"/>
        </w:trPr>
        <w:tc>
          <w:tcPr>
            <w:tcW w:w="8460" w:type="dxa"/>
            <w:gridSpan w:val="5"/>
            <w:shd w:val="clear" w:color="auto" w:fill="auto"/>
          </w:tcPr>
          <w:p w:rsidR="00D85005" w:rsidRDefault="00B52CEC" w:rsidP="00B52CEC">
            <w:pPr>
              <w:pStyle w:val="text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85005">
              <w:rPr>
                <w:rFonts w:ascii="Arial" w:hAnsi="Arial" w:cs="Arial"/>
              </w:rPr>
              <w:t>Subjekt je zapsán v OR u KS v Brně, oddíl C, vložka 38523</w:t>
            </w:r>
          </w:p>
        </w:tc>
        <w:tc>
          <w:tcPr>
            <w:tcW w:w="78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</w:tr>
      <w:tr w:rsidR="00D85005" w:rsidTr="00B52CEC">
        <w:trPr>
          <w:gridBefore w:val="1"/>
          <w:wBefore w:w="174" w:type="dxa"/>
        </w:trPr>
        <w:tc>
          <w:tcPr>
            <w:tcW w:w="1119" w:type="dxa"/>
            <w:gridSpan w:val="2"/>
            <w:shd w:val="clear" w:color="auto" w:fill="auto"/>
          </w:tcPr>
          <w:p w:rsidR="00D85005" w:rsidRDefault="00D85005" w:rsidP="00B52CEC">
            <w:pPr>
              <w:pStyle w:val="text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7419" w:type="dxa"/>
            <w:gridSpan w:val="4"/>
            <w:shd w:val="clear" w:color="auto" w:fill="auto"/>
          </w:tcPr>
          <w:p w:rsidR="00D85005" w:rsidRDefault="00B52CEC" w:rsidP="00B52CEC">
            <w:pPr>
              <w:pStyle w:val="text"/>
              <w:spacing w:before="0" w:after="0"/>
              <w:jc w:val="left"/>
            </w:pPr>
            <w:r>
              <w:rPr>
                <w:rFonts w:ascii="Arial" w:hAnsi="Arial" w:cs="Arial"/>
              </w:rPr>
              <w:t xml:space="preserve">       </w:t>
            </w:r>
            <w:r w:rsidR="00D85005">
              <w:rPr>
                <w:rFonts w:ascii="Arial" w:hAnsi="Arial" w:cs="Arial"/>
              </w:rPr>
              <w:t>262 29 650</w:t>
            </w:r>
          </w:p>
        </w:tc>
      </w:tr>
      <w:tr w:rsidR="00D85005" w:rsidTr="00B52CEC">
        <w:trPr>
          <w:gridBefore w:val="1"/>
          <w:wBefore w:w="174" w:type="dxa"/>
        </w:trPr>
        <w:tc>
          <w:tcPr>
            <w:tcW w:w="1119" w:type="dxa"/>
            <w:gridSpan w:val="2"/>
            <w:shd w:val="clear" w:color="auto" w:fill="auto"/>
          </w:tcPr>
          <w:p w:rsidR="00D85005" w:rsidRDefault="00D85005" w:rsidP="00B52CEC">
            <w:pPr>
              <w:pStyle w:val="text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7419" w:type="dxa"/>
            <w:gridSpan w:val="4"/>
            <w:shd w:val="clear" w:color="auto" w:fill="auto"/>
          </w:tcPr>
          <w:p w:rsidR="00D85005" w:rsidRDefault="00B52CEC" w:rsidP="00B52CEC">
            <w:pPr>
              <w:pStyle w:val="text"/>
              <w:spacing w:before="0" w:after="0"/>
              <w:jc w:val="left"/>
            </w:pPr>
            <w:r>
              <w:rPr>
                <w:rFonts w:ascii="Arial" w:hAnsi="Arial" w:cs="Arial"/>
              </w:rPr>
              <w:t xml:space="preserve">       </w:t>
            </w:r>
            <w:r w:rsidR="00D85005">
              <w:rPr>
                <w:rFonts w:ascii="Arial" w:hAnsi="Arial" w:cs="Arial"/>
              </w:rPr>
              <w:t>CZ 262 29 650</w:t>
            </w:r>
          </w:p>
        </w:tc>
      </w:tr>
      <w:tr w:rsidR="00D85005" w:rsidTr="00B52CEC">
        <w:tblPrEx>
          <w:tblCellMar>
            <w:left w:w="0" w:type="dxa"/>
            <w:right w:w="0" w:type="dxa"/>
          </w:tblCellMar>
        </w:tblPrEx>
        <w:trPr>
          <w:gridBefore w:val="1"/>
          <w:wBefore w:w="174" w:type="dxa"/>
        </w:trPr>
        <w:tc>
          <w:tcPr>
            <w:tcW w:w="8460" w:type="dxa"/>
            <w:gridSpan w:val="5"/>
            <w:shd w:val="clear" w:color="auto" w:fill="auto"/>
          </w:tcPr>
          <w:p w:rsidR="00D85005" w:rsidRDefault="00B52CEC" w:rsidP="00B52CEC">
            <w:pPr>
              <w:pStyle w:val="text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D85005">
              <w:rPr>
                <w:rFonts w:ascii="Arial" w:hAnsi="Arial" w:cs="Arial"/>
                <w:color w:val="000000"/>
              </w:rPr>
              <w:t xml:space="preserve">Zastoupený:  </w:t>
            </w:r>
            <w:r>
              <w:rPr>
                <w:rFonts w:ascii="Arial" w:hAnsi="Arial" w:cs="Arial"/>
                <w:color w:val="000000"/>
              </w:rPr>
              <w:t xml:space="preserve">     </w:t>
            </w:r>
            <w:r w:rsidR="00D85005">
              <w:rPr>
                <w:rFonts w:ascii="Arial" w:hAnsi="Arial" w:cs="Arial"/>
                <w:color w:val="000000"/>
              </w:rPr>
              <w:t>Eduardem Fornálem, jednatelem</w:t>
            </w:r>
          </w:p>
        </w:tc>
        <w:tc>
          <w:tcPr>
            <w:tcW w:w="78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</w:tr>
      <w:tr w:rsidR="00D85005" w:rsidTr="00B52CEC">
        <w:tblPrEx>
          <w:tblCellMar>
            <w:left w:w="0" w:type="dxa"/>
            <w:right w:w="0" w:type="dxa"/>
          </w:tblCellMar>
        </w:tblPrEx>
        <w:trPr>
          <w:gridAfter w:val="2"/>
          <w:wAfter w:w="174" w:type="dxa"/>
        </w:trPr>
        <w:tc>
          <w:tcPr>
            <w:tcW w:w="8460" w:type="dxa"/>
            <w:gridSpan w:val="4"/>
            <w:shd w:val="clear" w:color="auto" w:fill="auto"/>
          </w:tcPr>
          <w:p w:rsidR="00D85005" w:rsidRDefault="00D85005" w:rsidP="00B52CEC">
            <w:pPr>
              <w:pStyle w:val="text"/>
              <w:spacing w:before="0"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78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D85005" w:rsidRDefault="00D85005">
      <w:pPr>
        <w:pStyle w:val="22uroven"/>
        <w:tabs>
          <w:tab w:val="clear" w:pos="363"/>
        </w:tabs>
        <w:spacing w:before="0" w:after="0"/>
        <w:ind w:left="0" w:firstLine="0"/>
        <w:rPr>
          <w:rFonts w:ascii="Arial" w:hAnsi="Arial" w:cs="Arial"/>
        </w:rPr>
      </w:pPr>
    </w:p>
    <w:p w:rsidR="00D85005" w:rsidRDefault="00D85005">
      <w:pPr>
        <w:pStyle w:val="22uroven"/>
        <w:tabs>
          <w:tab w:val="clear" w:pos="363"/>
        </w:tabs>
        <w:spacing w:before="0"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Kupující: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585"/>
        <w:gridCol w:w="534"/>
        <w:gridCol w:w="5772"/>
        <w:gridCol w:w="1113"/>
        <w:gridCol w:w="534"/>
      </w:tblGrid>
      <w:tr w:rsidR="00D85005" w:rsidTr="00B52CEC">
        <w:trPr>
          <w:gridBefore w:val="1"/>
          <w:wBefore w:w="534" w:type="dxa"/>
          <w:trHeight w:val="57"/>
        </w:trPr>
        <w:tc>
          <w:tcPr>
            <w:tcW w:w="1119" w:type="dxa"/>
            <w:gridSpan w:val="2"/>
            <w:shd w:val="clear" w:color="auto" w:fill="auto"/>
          </w:tcPr>
          <w:p w:rsidR="00D85005" w:rsidRDefault="00B52CEC">
            <w:pPr>
              <w:pStyle w:val="text"/>
              <w:snapToGrid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19" w:type="dxa"/>
            <w:gridSpan w:val="3"/>
            <w:shd w:val="clear" w:color="auto" w:fill="auto"/>
          </w:tcPr>
          <w:p w:rsidR="00D85005" w:rsidRDefault="00D85005">
            <w:pPr>
              <w:pStyle w:val="text"/>
              <w:spacing w:before="0" w:after="0"/>
            </w:pPr>
            <w:r>
              <w:rPr>
                <w:rFonts w:ascii="Arial" w:hAnsi="Arial" w:cs="Arial"/>
              </w:rPr>
              <w:t>Brněnské vodárny a kanalizace, a.s.</w:t>
            </w:r>
          </w:p>
        </w:tc>
      </w:tr>
      <w:tr w:rsidR="00D85005" w:rsidTr="00B52CEC">
        <w:trPr>
          <w:gridAfter w:val="1"/>
          <w:wAfter w:w="534" w:type="dxa"/>
          <w:trHeight w:val="57"/>
        </w:trPr>
        <w:tc>
          <w:tcPr>
            <w:tcW w:w="1119" w:type="dxa"/>
            <w:gridSpan w:val="2"/>
            <w:shd w:val="clear" w:color="auto" w:fill="auto"/>
          </w:tcPr>
          <w:p w:rsidR="00D85005" w:rsidRDefault="00B52CEC">
            <w:pPr>
              <w:pStyle w:val="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85005">
              <w:rPr>
                <w:rFonts w:ascii="Arial" w:hAnsi="Arial" w:cs="Arial"/>
              </w:rPr>
              <w:t>Sídlo:</w:t>
            </w:r>
          </w:p>
        </w:tc>
        <w:tc>
          <w:tcPr>
            <w:tcW w:w="7419" w:type="dxa"/>
            <w:gridSpan w:val="3"/>
            <w:shd w:val="clear" w:color="auto" w:fill="auto"/>
          </w:tcPr>
          <w:p w:rsidR="00D85005" w:rsidRDefault="00B52CEC">
            <w:pPr>
              <w:pStyle w:val="text"/>
              <w:spacing w:before="0" w:after="0"/>
            </w:pPr>
            <w:r>
              <w:rPr>
                <w:rFonts w:ascii="Arial" w:hAnsi="Arial" w:cs="Arial"/>
              </w:rPr>
              <w:t xml:space="preserve">          </w:t>
            </w:r>
            <w:r w:rsidR="00D85005">
              <w:rPr>
                <w:rFonts w:ascii="Arial" w:hAnsi="Arial" w:cs="Arial"/>
              </w:rPr>
              <w:t>Pisárecká 555/1a, Pisárky, 603 00 Brno</w:t>
            </w:r>
          </w:p>
        </w:tc>
      </w:tr>
      <w:tr w:rsidR="00D85005" w:rsidTr="00B52CEC">
        <w:tblPrEx>
          <w:tblCellMar>
            <w:left w:w="0" w:type="dxa"/>
            <w:right w:w="0" w:type="dxa"/>
          </w:tblCellMar>
        </w:tblPrEx>
        <w:trPr>
          <w:gridAfter w:val="1"/>
          <w:wAfter w:w="534" w:type="dxa"/>
          <w:trHeight w:val="57"/>
        </w:trPr>
        <w:tc>
          <w:tcPr>
            <w:tcW w:w="7425" w:type="dxa"/>
            <w:gridSpan w:val="4"/>
            <w:shd w:val="clear" w:color="auto" w:fill="auto"/>
          </w:tcPr>
          <w:p w:rsidR="00D85005" w:rsidRDefault="00B52CEC">
            <w:pPr>
              <w:pStyle w:val="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85005">
              <w:rPr>
                <w:rFonts w:ascii="Arial" w:hAnsi="Arial" w:cs="Arial"/>
              </w:rPr>
              <w:t>Subjekt je zapsán v OR u Krajského soudu v Brně, oddíl B, vložka 783</w:t>
            </w:r>
          </w:p>
        </w:tc>
        <w:tc>
          <w:tcPr>
            <w:tcW w:w="1113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</w:tr>
      <w:tr w:rsidR="00D85005" w:rsidTr="00B52CEC">
        <w:trPr>
          <w:gridAfter w:val="1"/>
          <w:wAfter w:w="534" w:type="dxa"/>
          <w:trHeight w:val="57"/>
        </w:trPr>
        <w:tc>
          <w:tcPr>
            <w:tcW w:w="1119" w:type="dxa"/>
            <w:gridSpan w:val="2"/>
            <w:shd w:val="clear" w:color="auto" w:fill="auto"/>
          </w:tcPr>
          <w:p w:rsidR="00D85005" w:rsidRDefault="00B52CEC">
            <w:pPr>
              <w:pStyle w:val="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85005">
              <w:rPr>
                <w:rFonts w:ascii="Arial" w:hAnsi="Arial" w:cs="Arial"/>
              </w:rPr>
              <w:t>IČO:</w:t>
            </w: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7419" w:type="dxa"/>
            <w:gridSpan w:val="3"/>
            <w:shd w:val="clear" w:color="auto" w:fill="auto"/>
          </w:tcPr>
          <w:p w:rsidR="00D85005" w:rsidRDefault="00B52CEC">
            <w:pPr>
              <w:pStyle w:val="text"/>
              <w:spacing w:before="0" w:after="0"/>
            </w:pPr>
            <w:r>
              <w:rPr>
                <w:rFonts w:ascii="Arial" w:hAnsi="Arial" w:cs="Arial"/>
              </w:rPr>
              <w:t xml:space="preserve">         </w:t>
            </w:r>
            <w:r w:rsidR="00D85005">
              <w:rPr>
                <w:rFonts w:ascii="Arial" w:hAnsi="Arial" w:cs="Arial"/>
              </w:rPr>
              <w:t>46347275</w:t>
            </w:r>
          </w:p>
        </w:tc>
      </w:tr>
      <w:tr w:rsidR="00D85005" w:rsidTr="00B52CEC">
        <w:trPr>
          <w:gridAfter w:val="1"/>
          <w:wAfter w:w="534" w:type="dxa"/>
          <w:trHeight w:val="57"/>
        </w:trPr>
        <w:tc>
          <w:tcPr>
            <w:tcW w:w="1119" w:type="dxa"/>
            <w:gridSpan w:val="2"/>
            <w:shd w:val="clear" w:color="auto" w:fill="auto"/>
          </w:tcPr>
          <w:p w:rsidR="00D85005" w:rsidRDefault="00B52CEC">
            <w:pPr>
              <w:pStyle w:val="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85005">
              <w:rPr>
                <w:rFonts w:ascii="Arial" w:hAnsi="Arial" w:cs="Arial"/>
              </w:rPr>
              <w:t>DIČ:</w:t>
            </w:r>
          </w:p>
        </w:tc>
        <w:tc>
          <w:tcPr>
            <w:tcW w:w="7419" w:type="dxa"/>
            <w:gridSpan w:val="3"/>
            <w:shd w:val="clear" w:color="auto" w:fill="auto"/>
          </w:tcPr>
          <w:p w:rsidR="00D85005" w:rsidRDefault="00B52CEC">
            <w:pPr>
              <w:pStyle w:val="text"/>
              <w:spacing w:before="0" w:after="0"/>
            </w:pPr>
            <w:r>
              <w:rPr>
                <w:rFonts w:ascii="Arial" w:hAnsi="Arial" w:cs="Arial"/>
              </w:rPr>
              <w:t xml:space="preserve">         </w:t>
            </w:r>
            <w:r w:rsidR="00D85005">
              <w:rPr>
                <w:rFonts w:ascii="Arial" w:hAnsi="Arial" w:cs="Arial"/>
              </w:rPr>
              <w:t>CZ46347275</w:t>
            </w:r>
          </w:p>
        </w:tc>
      </w:tr>
      <w:tr w:rsidR="00D85005" w:rsidTr="00B52CEC">
        <w:tblPrEx>
          <w:tblCellMar>
            <w:left w:w="0" w:type="dxa"/>
            <w:right w:w="0" w:type="dxa"/>
          </w:tblCellMar>
        </w:tblPrEx>
        <w:trPr>
          <w:gridAfter w:val="1"/>
          <w:wAfter w:w="534" w:type="dxa"/>
          <w:trHeight w:val="57"/>
        </w:trPr>
        <w:tc>
          <w:tcPr>
            <w:tcW w:w="7425" w:type="dxa"/>
            <w:gridSpan w:val="4"/>
            <w:shd w:val="clear" w:color="auto" w:fill="auto"/>
          </w:tcPr>
          <w:p w:rsidR="00D85005" w:rsidRDefault="00B52CEC" w:rsidP="00236881">
            <w:pPr>
              <w:pStyle w:val="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85005">
              <w:rPr>
                <w:rFonts w:ascii="Arial" w:hAnsi="Arial" w:cs="Arial"/>
              </w:rPr>
              <w:t xml:space="preserve">K podpisu smlouvy je oprávněn </w:t>
            </w:r>
            <w:r w:rsidR="00236881">
              <w:rPr>
                <w:rFonts w:ascii="Arial" w:hAnsi="Arial" w:cs="Arial"/>
              </w:rPr>
              <w:t>XXX</w:t>
            </w:r>
            <w:bookmarkStart w:id="0" w:name="_GoBack"/>
            <w:bookmarkEnd w:id="0"/>
            <w:r w:rsidR="00D85005">
              <w:rPr>
                <w:rFonts w:ascii="Arial" w:hAnsi="Arial" w:cs="Arial"/>
              </w:rPr>
              <w:t>,</w:t>
            </w:r>
          </w:p>
        </w:tc>
        <w:tc>
          <w:tcPr>
            <w:tcW w:w="1113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</w:tr>
      <w:tr w:rsidR="00D85005" w:rsidTr="00B52CEC">
        <w:tblPrEx>
          <w:tblCellMar>
            <w:left w:w="0" w:type="dxa"/>
            <w:right w:w="0" w:type="dxa"/>
          </w:tblCellMar>
        </w:tblPrEx>
        <w:trPr>
          <w:gridAfter w:val="1"/>
          <w:wAfter w:w="534" w:type="dxa"/>
          <w:trHeight w:val="57"/>
        </w:trPr>
        <w:tc>
          <w:tcPr>
            <w:tcW w:w="7425" w:type="dxa"/>
            <w:gridSpan w:val="4"/>
            <w:shd w:val="clear" w:color="auto" w:fill="auto"/>
          </w:tcPr>
          <w:p w:rsidR="00D85005" w:rsidRDefault="00B52CEC">
            <w:pPr>
              <w:pStyle w:val="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85005">
              <w:rPr>
                <w:rFonts w:ascii="Arial" w:hAnsi="Arial" w:cs="Arial"/>
              </w:rPr>
              <w:t>na základě zmocnění ze dne 16.12.2022</w:t>
            </w:r>
          </w:p>
        </w:tc>
        <w:tc>
          <w:tcPr>
            <w:tcW w:w="1113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D85005" w:rsidRDefault="00D85005">
      <w:pPr>
        <w:pStyle w:val="11uroven"/>
        <w:tabs>
          <w:tab w:val="clear" w:pos="363"/>
        </w:tabs>
        <w:ind w:left="360" w:hanging="36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Cs/>
        </w:rPr>
        <w:t>II.</w:t>
      </w:r>
    </w:p>
    <w:p w:rsidR="00D85005" w:rsidRDefault="00D85005">
      <w:pPr>
        <w:pStyle w:val="11uroven"/>
        <w:ind w:left="36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 w:val="0"/>
        </w:rPr>
        <w:t>Mezi smluvními stranami byla uzavřena dne 16. 8. 2023 kupní smlouva (dále jako „</w:t>
      </w:r>
      <w:r>
        <w:rPr>
          <w:rFonts w:ascii="Arial" w:hAnsi="Arial" w:cs="Arial"/>
        </w:rPr>
        <w:t>kupní smlouva</w:t>
      </w:r>
      <w:r>
        <w:rPr>
          <w:rFonts w:ascii="Arial" w:hAnsi="Arial" w:cs="Arial"/>
          <w:b w:val="0"/>
        </w:rPr>
        <w:t xml:space="preserve">“), jejímž předmětem je závazek prodávajícího odevzdat kupujícímu nákladní kontejnerové vozidlo MAN TGS 33.480 6x4 BL s parametry a ve výbavě blíže specifikované v předmětné kupní smlouvě. Kupující se v kupní smlouvě zavázal kontejnerové vozidlo převzít a zaplatit prodávajícímu kupní cenu. </w:t>
      </w:r>
    </w:p>
    <w:p w:rsidR="00D85005" w:rsidRDefault="00D85005">
      <w:pPr>
        <w:pStyle w:val="11uroven"/>
        <w:tabs>
          <w:tab w:val="clear" w:pos="363"/>
        </w:tabs>
        <w:ind w:left="360" w:hanging="36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Cs/>
        </w:rPr>
        <w:t>III.</w:t>
      </w:r>
    </w:p>
    <w:p w:rsidR="00D85005" w:rsidRDefault="00D85005">
      <w:pPr>
        <w:pStyle w:val="11uroven"/>
        <w:jc w:val="both"/>
        <w:rPr>
          <w:rFonts w:ascii="Arial" w:hAnsi="Arial" w:cs="Arial"/>
          <w:b w:val="0"/>
          <w:color w:val="000000"/>
          <w:spacing w:val="-1"/>
        </w:rPr>
      </w:pPr>
      <w:r>
        <w:rPr>
          <w:rFonts w:ascii="Arial" w:hAnsi="Arial" w:cs="Arial"/>
          <w:b w:val="0"/>
        </w:rPr>
        <w:t>Smluvní strany se dohodly z důvodu pozdního dodání hydraulických válců na změně doby plnění uvedené v čl. 3 Doba plnění, resp. bodu 3.1 kupní smlouvy. Nově bod 3.1 kupní smlouvy zní takto:</w:t>
      </w:r>
    </w:p>
    <w:p w:rsidR="00D85005" w:rsidRDefault="00D85005">
      <w:pPr>
        <w:pStyle w:val="11uroven"/>
        <w:tabs>
          <w:tab w:val="clear" w:pos="363"/>
        </w:tabs>
        <w:ind w:left="0" w:firstLine="363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b w:val="0"/>
          <w:color w:val="000000"/>
          <w:spacing w:val="-1"/>
        </w:rPr>
        <w:t xml:space="preserve">       „Termín dodání vozidla je do </w:t>
      </w:r>
      <w:r w:rsidR="000135B3">
        <w:rPr>
          <w:rFonts w:ascii="Arial" w:hAnsi="Arial" w:cs="Arial"/>
          <w:b w:val="0"/>
          <w:color w:val="000000"/>
          <w:spacing w:val="-1"/>
        </w:rPr>
        <w:t>31</w:t>
      </w:r>
      <w:r>
        <w:rPr>
          <w:rFonts w:ascii="Arial" w:hAnsi="Arial" w:cs="Arial"/>
          <w:b w:val="0"/>
          <w:color w:val="000000"/>
          <w:spacing w:val="-1"/>
        </w:rPr>
        <w:t>. 7. 2024.“</w:t>
      </w:r>
    </w:p>
    <w:p w:rsidR="00D85005" w:rsidRPr="00AC3768" w:rsidRDefault="00D85005" w:rsidP="00F5216A">
      <w:pPr>
        <w:pStyle w:val="22uroven"/>
        <w:suppressAutoHyphens/>
        <w:rPr>
          <w:rFonts w:ascii="Arial" w:hAnsi="Arial" w:cs="Arial"/>
          <w:b/>
          <w:bCs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Ostatní ustanovení kupní smlouvy zůstávají tímto dodatkem nedotčeny a jsou dále platné a účinné.</w:t>
      </w:r>
      <w:r w:rsidR="00F5216A">
        <w:rPr>
          <w:rFonts w:ascii="Arial" w:hAnsi="Arial" w:cs="Arial"/>
          <w:color w:val="000000"/>
          <w:spacing w:val="-1"/>
        </w:rPr>
        <w:t xml:space="preserve"> Smluvní  strany  si výslovně  potvrzují,  že   uzavřením   tohoto  dodatku  zůstává nedotčena rovněž platnost a  účinnost   čl.  11.7.,  který  stanoví  smluvní  pokutu v případě  nedodržení  termínu dodání prodávajícím, a to  jak  v případě  nedodržení  termínu  dodání  prodávajícím dohodnutého  ve smlouvě ze  dne 16.8.2023,  tak  termínu  dodání  dle  dodatku č.  1 smlouvy.  </w:t>
      </w:r>
    </w:p>
    <w:p w:rsidR="00F5216A" w:rsidRDefault="00F5216A" w:rsidP="00F5216A">
      <w:pPr>
        <w:pStyle w:val="22uroven"/>
        <w:tabs>
          <w:tab w:val="clear" w:pos="363"/>
        </w:tabs>
        <w:suppressAutoHyphens/>
        <w:ind w:left="0" w:firstLine="0"/>
        <w:rPr>
          <w:rFonts w:ascii="Arial" w:hAnsi="Arial" w:cs="Arial"/>
          <w:b/>
          <w:bCs/>
          <w:color w:val="000000"/>
          <w:spacing w:val="-1"/>
        </w:rPr>
      </w:pPr>
    </w:p>
    <w:p w:rsidR="00D85005" w:rsidRDefault="00D85005">
      <w:pPr>
        <w:pStyle w:val="22uroven"/>
        <w:tabs>
          <w:tab w:val="clear" w:pos="363"/>
        </w:tabs>
        <w:suppressAutoHyphens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pacing w:val="-1"/>
        </w:rPr>
        <w:t>IV.</w:t>
      </w:r>
    </w:p>
    <w:p w:rsidR="00D85005" w:rsidRDefault="00D85005">
      <w:pPr>
        <w:widowControl/>
        <w:suppressAutoHyphens w:val="0"/>
        <w:rPr>
          <w:rFonts w:ascii="Arial" w:hAnsi="Arial" w:cs="Arial"/>
        </w:rPr>
      </w:pPr>
    </w:p>
    <w:p w:rsidR="00D85005" w:rsidRDefault="00D85005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 w:cs="Arial"/>
        </w:rPr>
        <w:t>Obě smluvní strany prohlašují, že tento dodatek je projevem jejich svobodné a vážné vůle, což stvrzují svými podpisy.</w:t>
      </w:r>
    </w:p>
    <w:p w:rsidR="00D85005" w:rsidRDefault="00D85005">
      <w:pPr>
        <w:rPr>
          <w:rFonts w:ascii="Arial" w:hAnsi="Arial"/>
        </w:rPr>
      </w:pPr>
    </w:p>
    <w:p w:rsidR="00D85005" w:rsidRDefault="00D85005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 w:cs="Arial"/>
          <w:iCs/>
        </w:rPr>
        <w:t xml:space="preserve">Tento dodatek byl uzavřen </w:t>
      </w:r>
      <w:r>
        <w:rPr>
          <w:rFonts w:ascii="Arial" w:hAnsi="Arial" w:cs="Arial"/>
        </w:rPr>
        <w:t xml:space="preserve">v běžném obchodním styku právnickou osobou, která byla založena                   </w:t>
      </w:r>
      <w:r>
        <w:rPr>
          <w:rFonts w:ascii="Arial" w:hAnsi="Arial" w:cs="Arial"/>
        </w:rPr>
        <w:lastRenderedPageBreak/>
        <w:t>za účelem uspokojování potřeb majících průmyslovou nebo obchodní povahu. Dodatek nepodléhá uveřejnění v 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smlouvy společnost Brněnské vodárny a kanalizace, a.s. zveřejní dodatek včetně smlouvy o dílo v registru smluv. Smluvní strany prohlašují, že skutečnosti uvedené v tomto dodatku ani ve smlouvě o dílo nepovažují za obchodní tajemství ve smyslu ustanovení § 504 zákona č. 89/2012 Sb. a udělují svolení k jejich užití a zveřejnění bez stanovení jakýchkoliv dalších podmínek.</w:t>
      </w:r>
      <w:r>
        <w:rPr>
          <w:rFonts w:ascii="Arial" w:hAnsi="Arial" w:cs="Arial"/>
          <w:iCs/>
          <w:color w:val="FF0000"/>
        </w:rPr>
        <w:t xml:space="preserve"> </w:t>
      </w:r>
    </w:p>
    <w:p w:rsidR="00D85005" w:rsidRDefault="00D85005">
      <w:pPr>
        <w:rPr>
          <w:rFonts w:ascii="Arial" w:hAnsi="Arial"/>
        </w:rPr>
      </w:pPr>
    </w:p>
    <w:p w:rsidR="00D85005" w:rsidRDefault="00D85005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 w:cs="Arial"/>
          <w:color w:val="000000"/>
        </w:rPr>
        <w:t>Dodatek je vyhotoven ve dvou stejnopisech, ze kterých prodávající i kupující obdrží jedno vyhotovení.</w:t>
      </w:r>
    </w:p>
    <w:p w:rsidR="00D85005" w:rsidRDefault="00D85005">
      <w:pPr>
        <w:rPr>
          <w:rFonts w:ascii="Arial" w:hAnsi="Arial"/>
        </w:rPr>
      </w:pPr>
    </w:p>
    <w:p w:rsidR="00D85005" w:rsidRPr="00B52CEC" w:rsidRDefault="00D85005">
      <w:pPr>
        <w:numPr>
          <w:ilvl w:val="0"/>
          <w:numId w:val="3"/>
        </w:numPr>
        <w:rPr>
          <w:rFonts w:ascii="Arial" w:hAnsi="Arial" w:cs="Arial"/>
        </w:rPr>
      </w:pPr>
      <w:r w:rsidRPr="00B52CEC">
        <w:rPr>
          <w:rFonts w:ascii="Arial" w:hAnsi="Arial" w:cs="Arial"/>
        </w:rPr>
        <w:t>Tento dodatek nabývá účinnosti dnem podpisu oběma smluvními stranami.</w:t>
      </w:r>
    </w:p>
    <w:p w:rsidR="00D85005" w:rsidRDefault="00D85005">
      <w:pPr>
        <w:pStyle w:val="Odstavecseseznamem"/>
        <w:ind w:left="0"/>
        <w:rPr>
          <w:rFonts w:ascii="Arial" w:hAnsi="Arial" w:cs="Arial"/>
        </w:rPr>
      </w:pPr>
    </w:p>
    <w:p w:rsidR="00D85005" w:rsidRDefault="00D85005">
      <w:pPr>
        <w:rPr>
          <w:rFonts w:ascii="Arial" w:hAnsi="Arial" w:cs="Arial"/>
          <w:b/>
        </w:rPr>
      </w:pPr>
    </w:p>
    <w:p w:rsidR="00D85005" w:rsidRDefault="00D85005">
      <w:pPr>
        <w:rPr>
          <w:rFonts w:ascii="Arial" w:hAnsi="Arial" w:cs="Arial"/>
          <w:b/>
        </w:rPr>
      </w:pPr>
    </w:p>
    <w:p w:rsidR="00D85005" w:rsidRDefault="00D85005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700"/>
        <w:gridCol w:w="1778"/>
        <w:gridCol w:w="550"/>
        <w:gridCol w:w="2163"/>
        <w:gridCol w:w="731"/>
        <w:gridCol w:w="1359"/>
        <w:gridCol w:w="76"/>
      </w:tblGrid>
      <w:tr w:rsidR="00D85005">
        <w:tc>
          <w:tcPr>
            <w:tcW w:w="1854" w:type="dxa"/>
            <w:shd w:val="clear" w:color="auto" w:fill="auto"/>
          </w:tcPr>
          <w:p w:rsidR="00D85005" w:rsidRDefault="00D85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 Měrůtkách</w:t>
            </w:r>
          </w:p>
        </w:tc>
        <w:tc>
          <w:tcPr>
            <w:tcW w:w="700" w:type="dxa"/>
            <w:shd w:val="clear" w:color="auto" w:fill="auto"/>
          </w:tcPr>
          <w:p w:rsidR="00D85005" w:rsidRDefault="004F4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85005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8" w:type="dxa"/>
            <w:shd w:val="clear" w:color="auto" w:fill="auto"/>
          </w:tcPr>
          <w:p w:rsidR="00D85005" w:rsidRDefault="0023688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28.6.2024</w:t>
            </w:r>
          </w:p>
        </w:tc>
        <w:tc>
          <w:tcPr>
            <w:tcW w:w="550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63" w:type="dxa"/>
            <w:shd w:val="clear" w:color="auto" w:fill="auto"/>
          </w:tcPr>
          <w:p w:rsidR="00D85005" w:rsidRDefault="00D85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Brně</w:t>
            </w:r>
          </w:p>
        </w:tc>
        <w:tc>
          <w:tcPr>
            <w:tcW w:w="731" w:type="dxa"/>
            <w:shd w:val="clear" w:color="auto" w:fill="auto"/>
          </w:tcPr>
          <w:p w:rsidR="00D85005" w:rsidRDefault="004F4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85005">
              <w:rPr>
                <w:rFonts w:ascii="Arial" w:hAnsi="Arial" w:cs="Arial"/>
              </w:rPr>
              <w:t>ne</w:t>
            </w:r>
          </w:p>
          <w:p w:rsidR="004F4C3E" w:rsidRDefault="004F4C3E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  <w:gridSpan w:val="2"/>
            <w:shd w:val="clear" w:color="auto" w:fill="auto"/>
          </w:tcPr>
          <w:p w:rsidR="00D85005" w:rsidRDefault="0023688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28.6.2024</w:t>
            </w:r>
          </w:p>
        </w:tc>
      </w:tr>
      <w:tr w:rsidR="00D85005">
        <w:tblPrEx>
          <w:tblCellMar>
            <w:left w:w="0" w:type="dxa"/>
            <w:right w:w="0" w:type="dxa"/>
          </w:tblCellMar>
        </w:tblPrEx>
        <w:tc>
          <w:tcPr>
            <w:tcW w:w="4332" w:type="dxa"/>
            <w:gridSpan w:val="3"/>
            <w:shd w:val="clear" w:color="auto" w:fill="auto"/>
          </w:tcPr>
          <w:p w:rsidR="00D85005" w:rsidRDefault="00D85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prodávajícího</w:t>
            </w:r>
          </w:p>
        </w:tc>
        <w:tc>
          <w:tcPr>
            <w:tcW w:w="550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85005" w:rsidRDefault="00D85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kupujícího</w:t>
            </w:r>
          </w:p>
        </w:tc>
        <w:tc>
          <w:tcPr>
            <w:tcW w:w="76" w:type="dxa"/>
            <w:shd w:val="clear" w:color="auto" w:fill="auto"/>
          </w:tcPr>
          <w:p w:rsidR="00D85005" w:rsidRDefault="00D85005">
            <w:pPr>
              <w:snapToGrid w:val="0"/>
              <w:ind w:left="285" w:firstLine="120"/>
              <w:rPr>
                <w:rFonts w:ascii="Arial" w:hAnsi="Arial" w:cs="Arial"/>
              </w:rPr>
            </w:pPr>
          </w:p>
        </w:tc>
      </w:tr>
      <w:tr w:rsidR="00D85005">
        <w:tblPrEx>
          <w:tblCellMar>
            <w:left w:w="0" w:type="dxa"/>
            <w:right w:w="0" w:type="dxa"/>
          </w:tblCellMar>
        </w:tblPrEx>
        <w:trPr>
          <w:trHeight w:val="1475"/>
        </w:trPr>
        <w:tc>
          <w:tcPr>
            <w:tcW w:w="433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</w:tr>
      <w:tr w:rsidR="00D85005">
        <w:tblPrEx>
          <w:tblCellMar>
            <w:left w:w="0" w:type="dxa"/>
            <w:right w:w="0" w:type="dxa"/>
          </w:tblCellMar>
        </w:tblPrEx>
        <w:tc>
          <w:tcPr>
            <w:tcW w:w="433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D85005" w:rsidRDefault="00D85005">
            <w:pPr>
              <w:pStyle w:val="zarovnannaste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</w:rPr>
              <w:t>FORNAL trading s.r.o.</w:t>
            </w:r>
          </w:p>
          <w:p w:rsidR="00D85005" w:rsidRDefault="00D85005">
            <w:pPr>
              <w:pStyle w:val="text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Eduard Fornál, jednatel</w:t>
            </w:r>
          </w:p>
        </w:tc>
        <w:tc>
          <w:tcPr>
            <w:tcW w:w="550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D85005" w:rsidRDefault="00D85005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Brněnské vodárny a kanalizace, a.s.</w:t>
            </w:r>
          </w:p>
          <w:p w:rsidR="00D85005" w:rsidRDefault="00236881">
            <w:pPr>
              <w:pStyle w:val="zarovnannasted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  <w:tc>
          <w:tcPr>
            <w:tcW w:w="76" w:type="dxa"/>
            <w:shd w:val="clear" w:color="auto" w:fill="auto"/>
          </w:tcPr>
          <w:p w:rsidR="00D85005" w:rsidRDefault="00D85005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D85005" w:rsidRDefault="00D85005"/>
    <w:p w:rsidR="00D85005" w:rsidRDefault="00D85005"/>
    <w:sectPr w:rsidR="00D8500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74B" w:rsidRDefault="000A074B">
      <w:r>
        <w:separator/>
      </w:r>
    </w:p>
  </w:endnote>
  <w:endnote w:type="continuationSeparator" w:id="0">
    <w:p w:rsidR="000A074B" w:rsidRDefault="000A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285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05" w:rsidRDefault="00D850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05" w:rsidRDefault="00D85005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36881">
      <w:rPr>
        <w:noProof/>
      </w:rPr>
      <w:t>2</w:t>
    </w:r>
    <w:r>
      <w:fldChar w:fldCharType="end"/>
    </w:r>
  </w:p>
  <w:p w:rsidR="00D85005" w:rsidRDefault="00D850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05" w:rsidRDefault="00D850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74B" w:rsidRDefault="000A074B">
      <w:r>
        <w:separator/>
      </w:r>
    </w:p>
  </w:footnote>
  <w:footnote w:type="continuationSeparator" w:id="0">
    <w:p w:rsidR="000A074B" w:rsidRDefault="000A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05" w:rsidRDefault="000135B3">
    <w:pPr>
      <w:pStyle w:val="Zhlav"/>
    </w:pP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913380" cy="474218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3380" cy="4742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05" w:rsidRDefault="00D850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dpis2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cs="Times New Roman"/>
        <w:b w:val="0"/>
        <w:b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EC"/>
    <w:rsid w:val="0001303A"/>
    <w:rsid w:val="000135B3"/>
    <w:rsid w:val="000A074B"/>
    <w:rsid w:val="00236881"/>
    <w:rsid w:val="004F4C3E"/>
    <w:rsid w:val="00652D29"/>
    <w:rsid w:val="006E188A"/>
    <w:rsid w:val="007074E8"/>
    <w:rsid w:val="0075320C"/>
    <w:rsid w:val="009E3226"/>
    <w:rsid w:val="009F5EA1"/>
    <w:rsid w:val="00AC3768"/>
    <w:rsid w:val="00AE4229"/>
    <w:rsid w:val="00B52CEC"/>
    <w:rsid w:val="00D85005"/>
    <w:rsid w:val="00F5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56E025"/>
  <w15:chartTrackingRefBased/>
  <w15:docId w15:val="{B789AC80-C962-4671-9953-941B6086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jc w:val="both"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480"/>
      <w:outlineLvl w:val="0"/>
    </w:pPr>
    <w:rPr>
      <w:rFonts w:ascii="Arial" w:hAnsi="Arial" w:cs="font285"/>
      <w:b/>
      <w:bCs/>
      <w:color w:val="A5A5A5"/>
      <w:sz w:val="28"/>
      <w:szCs w:val="28"/>
    </w:rPr>
  </w:style>
  <w:style w:type="paragraph" w:styleId="Nadpis2">
    <w:name w:val="heading 2"/>
    <w:basedOn w:val="Normln"/>
    <w:next w:val="Zkladntext"/>
    <w:qFormat/>
    <w:pPr>
      <w:keepNext/>
      <w:keepLines/>
      <w:numPr>
        <w:numId w:val="2"/>
      </w:numPr>
      <w:spacing w:before="200"/>
      <w:outlineLvl w:val="1"/>
    </w:pPr>
    <w:rPr>
      <w:rFonts w:ascii="Arial" w:hAnsi="Arial" w:cs="font285"/>
      <w:b/>
      <w:bCs/>
      <w:color w:val="DDDDDD"/>
      <w:sz w:val="26"/>
      <w:szCs w:val="26"/>
    </w:rPr>
  </w:style>
  <w:style w:type="paragraph" w:styleId="Nadpis3">
    <w:name w:val="heading 3"/>
    <w:basedOn w:val="Normln"/>
    <w:next w:val="Zkladntext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Arial" w:hAnsi="Arial" w:cs="font285"/>
      <w:b/>
      <w:bCs/>
      <w:color w:val="DDDDDD"/>
    </w:rPr>
  </w:style>
  <w:style w:type="paragraph" w:styleId="Nadpis4">
    <w:name w:val="heading 4"/>
    <w:basedOn w:val="Normln"/>
    <w:next w:val="Zkladntext"/>
    <w:qFormat/>
    <w:pPr>
      <w:keepNext/>
      <w:widowControl/>
      <w:numPr>
        <w:ilvl w:val="3"/>
        <w:numId w:val="1"/>
      </w:numPr>
      <w:tabs>
        <w:tab w:val="left" w:pos="864"/>
      </w:tabs>
      <w:spacing w:before="120"/>
      <w:jc w:val="left"/>
      <w:outlineLvl w:val="3"/>
    </w:pPr>
    <w:rPr>
      <w:rFonts w:ascii="Arial" w:hAnsi="Arial" w:cs="Arial"/>
      <w:i/>
      <w:color w:val="808080"/>
      <w:sz w:val="24"/>
    </w:rPr>
  </w:style>
  <w:style w:type="paragraph" w:styleId="Nadpis5">
    <w:name w:val="heading 5"/>
    <w:basedOn w:val="Normln"/>
    <w:next w:val="Zkladntext"/>
    <w:qFormat/>
    <w:pPr>
      <w:keepNext/>
      <w:widowControl/>
      <w:numPr>
        <w:ilvl w:val="4"/>
        <w:numId w:val="1"/>
      </w:numPr>
      <w:spacing w:after="120"/>
      <w:outlineLvl w:val="4"/>
    </w:pPr>
    <w:rPr>
      <w:b/>
      <w:sz w:val="24"/>
    </w:rPr>
  </w:style>
  <w:style w:type="paragraph" w:styleId="Nadpis6">
    <w:name w:val="heading 6"/>
    <w:basedOn w:val="Normln"/>
    <w:next w:val="Zkladntext"/>
    <w:qFormat/>
    <w:pPr>
      <w:widowControl/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Zkladntext"/>
    <w:qFormat/>
    <w:pPr>
      <w:widowControl/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ln"/>
    <w:next w:val="Zkladntext"/>
    <w:qFormat/>
    <w:pPr>
      <w:widowControl/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dpis9">
    <w:name w:val="heading 9"/>
    <w:basedOn w:val="Normln"/>
    <w:next w:val="Zkladntext"/>
    <w:qFormat/>
    <w:pPr>
      <w:widowControl/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sz w:val="24"/>
      <w:szCs w:val="24"/>
    </w:rPr>
  </w:style>
  <w:style w:type="character" w:customStyle="1" w:styleId="WW8Num2z1">
    <w:name w:val="WW8Num2z1"/>
    <w:rPr>
      <w:rFonts w:cs="Times New Roman"/>
      <w:b w:val="0"/>
      <w:bCs w:val="0"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Times New Roman"/>
      <w:iCs/>
      <w:color w:val="FF0000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cs="Times New Roman"/>
      <w:i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1">
    <w:name w:val="Standardní písmo odstavce1"/>
  </w:style>
  <w:style w:type="character" w:customStyle="1" w:styleId="Standardnpsmoodstavce3">
    <w:name w:val="Standardní písmo odstavce3"/>
  </w:style>
  <w:style w:type="character" w:customStyle="1" w:styleId="Nadpis1Char">
    <w:name w:val="Nadpis 1 Char"/>
    <w:rPr>
      <w:rFonts w:ascii="Arial" w:hAnsi="Arial" w:cs="Times New Roman"/>
      <w:b/>
      <w:bCs/>
      <w:color w:val="A5A5A5"/>
      <w:sz w:val="28"/>
      <w:szCs w:val="28"/>
    </w:rPr>
  </w:style>
  <w:style w:type="character" w:customStyle="1" w:styleId="Nadpis2Char">
    <w:name w:val="Nadpis 2 Char"/>
    <w:rPr>
      <w:rFonts w:ascii="Arial" w:hAnsi="Arial" w:cs="Times New Roman"/>
      <w:b/>
      <w:bCs/>
      <w:color w:val="DDDDDD"/>
      <w:sz w:val="26"/>
      <w:szCs w:val="26"/>
    </w:rPr>
  </w:style>
  <w:style w:type="character" w:customStyle="1" w:styleId="Nadpis3Char">
    <w:name w:val="Nadpis 3 Char"/>
    <w:rPr>
      <w:rFonts w:ascii="Arial" w:hAnsi="Arial" w:cs="Times New Roman"/>
      <w:b/>
      <w:bCs/>
      <w:color w:val="DDDDDD"/>
    </w:rPr>
  </w:style>
  <w:style w:type="character" w:customStyle="1" w:styleId="Nadpis4Char">
    <w:name w:val="Nadpis 4 Char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rPr>
      <w:rFonts w:ascii="Times New Roman" w:hAnsi="Times New Roman" w:cs="Times New Roman"/>
      <w:b/>
      <w:sz w:val="24"/>
      <w:lang w:val="en-US"/>
    </w:rPr>
  </w:style>
  <w:style w:type="character" w:customStyle="1" w:styleId="Nadpis6Char">
    <w:name w:val="Nadpis 6 Char"/>
    <w:rPr>
      <w:rFonts w:ascii="Calibri" w:hAnsi="Calibri" w:cs="Times New Roman"/>
      <w:b/>
      <w:bCs/>
      <w:sz w:val="22"/>
      <w:szCs w:val="22"/>
      <w:lang w:val="en-US"/>
    </w:rPr>
  </w:style>
  <w:style w:type="character" w:customStyle="1" w:styleId="Nadpis7Char">
    <w:name w:val="Nadpis 7 Char"/>
    <w:rPr>
      <w:rFonts w:ascii="Calibri" w:hAnsi="Calibri" w:cs="Times New Roman"/>
      <w:sz w:val="24"/>
      <w:szCs w:val="24"/>
      <w:lang w:val="en-US"/>
    </w:rPr>
  </w:style>
  <w:style w:type="character" w:customStyle="1" w:styleId="Nadpis8Char">
    <w:name w:val="Nadpis 8 Char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Nadpis9Char">
    <w:name w:val="Nadpis 9 Char"/>
    <w:rPr>
      <w:rFonts w:ascii="Cambria" w:hAnsi="Cambria" w:cs="Times New Roman"/>
      <w:sz w:val="22"/>
      <w:szCs w:val="22"/>
      <w:lang w:val="en-US"/>
    </w:rPr>
  </w:style>
  <w:style w:type="character" w:customStyle="1" w:styleId="ZkladntextChar">
    <w:name w:val="Základní text Char"/>
    <w:rPr>
      <w:color w:val="000000"/>
      <w:sz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cs="Times New Roman"/>
    </w:rPr>
  </w:style>
  <w:style w:type="character" w:customStyle="1" w:styleId="ZpatChar">
    <w:name w:val="Zápatí Char"/>
    <w:rPr>
      <w:rFonts w:cs="Times New Roman"/>
    </w:rPr>
  </w:style>
  <w:style w:type="character" w:styleId="Hypertextovodkaz">
    <w:name w:val="Hyperlink"/>
    <w:rPr>
      <w:rFonts w:cs="Times New Roman"/>
      <w:color w:val="5F5F5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4">
    <w:name w:val="ListLabel 4"/>
    <w:rPr>
      <w:rFonts w:cs="Times New Roman"/>
      <w:b/>
      <w:bCs/>
      <w:i w:val="0"/>
      <w:iCs w:val="0"/>
      <w:sz w:val="20"/>
      <w:szCs w:val="20"/>
    </w:rPr>
  </w:style>
  <w:style w:type="character" w:customStyle="1" w:styleId="Symbolyproslovn">
    <w:name w:val="Symboly pro číslování"/>
    <w:rPr>
      <w:sz w:val="26"/>
      <w:szCs w:val="2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1">
    <w:name w:val="Text bubliny Char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jc w:val="left"/>
    </w:pPr>
    <w:rPr>
      <w:color w:val="000000"/>
      <w:sz w:val="24"/>
    </w:rPr>
  </w:style>
  <w:style w:type="paragraph" w:styleId="Seznam">
    <w:name w:val="List"/>
    <w:basedOn w:val="Normln"/>
    <w:pPr>
      <w:widowControl/>
      <w:ind w:left="283" w:hanging="283"/>
      <w:jc w:val="left"/>
    </w:pPr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pPr>
      <w:widowControl/>
      <w:ind w:left="708"/>
    </w:pPr>
    <w:rPr>
      <w:sz w:val="24"/>
    </w:rPr>
  </w:style>
  <w:style w:type="paragraph" w:customStyle="1" w:styleId="0Nzevsmlouvy-nejvyssiroven">
    <w:name w:val="§0 Název smlouvy - nejvyssi úroven"/>
    <w:pPr>
      <w:keepNext/>
      <w:suppressLineNumbers/>
      <w:suppressAutoHyphens/>
      <w:spacing w:before="120" w:after="120"/>
      <w:jc w:val="center"/>
    </w:pPr>
    <w:rPr>
      <w:b/>
      <w:sz w:val="32"/>
      <w:szCs w:val="32"/>
      <w:lang w:eastAsia="ar-SA"/>
    </w:rPr>
  </w:style>
  <w:style w:type="paragraph" w:customStyle="1" w:styleId="text">
    <w:name w:val="text"/>
    <w:pPr>
      <w:suppressAutoHyphens/>
      <w:spacing w:before="120" w:after="120"/>
      <w:jc w:val="both"/>
    </w:pPr>
    <w:rPr>
      <w:lang w:eastAsia="ar-SA"/>
    </w:rPr>
  </w:style>
  <w:style w:type="paragraph" w:customStyle="1" w:styleId="11uroven">
    <w:name w:val="§1 1 uroven"/>
    <w:basedOn w:val="text"/>
    <w:pPr>
      <w:keepNext/>
      <w:suppressLineNumbers/>
      <w:tabs>
        <w:tab w:val="num" w:pos="363"/>
      </w:tabs>
      <w:spacing w:before="240"/>
      <w:ind w:left="363" w:hanging="363"/>
      <w:jc w:val="left"/>
    </w:pPr>
    <w:rPr>
      <w:b/>
    </w:rPr>
  </w:style>
  <w:style w:type="paragraph" w:customStyle="1" w:styleId="22uroven">
    <w:name w:val="§2 2uroven"/>
    <w:basedOn w:val="11uroven"/>
    <w:pPr>
      <w:keepNext w:val="0"/>
      <w:suppressAutoHyphens w:val="0"/>
      <w:jc w:val="both"/>
    </w:pPr>
    <w:rPr>
      <w:b w:val="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styleId="Obsah1">
    <w:name w:val="toc 1"/>
    <w:basedOn w:val="Normln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pPr>
      <w:tabs>
        <w:tab w:val="right" w:leader="dot" w:pos="9355"/>
      </w:tabs>
      <w:spacing w:after="100"/>
      <w:ind w:left="200"/>
    </w:pPr>
  </w:style>
  <w:style w:type="paragraph" w:customStyle="1" w:styleId="vycetbodovy">
    <w:name w:val="vycet bodovy"/>
    <w:basedOn w:val="text"/>
    <w:pPr>
      <w:ind w:left="924" w:hanging="357"/>
    </w:pPr>
  </w:style>
  <w:style w:type="paragraph" w:customStyle="1" w:styleId="pododstavec-nadpis2">
    <w:name w:val="pododstavec-nadpis2"/>
    <w:basedOn w:val="Normln"/>
    <w:pPr>
      <w:widowControl/>
      <w:spacing w:after="120"/>
      <w:ind w:left="567"/>
    </w:pPr>
    <w:rPr>
      <w:bCs/>
      <w:color w:val="000000"/>
      <w:sz w:val="24"/>
      <w:szCs w:val="22"/>
    </w:rPr>
  </w:style>
  <w:style w:type="paragraph" w:customStyle="1" w:styleId="Texttabulky">
    <w:name w:val="Text tabulky"/>
    <w:basedOn w:val="0Nzevsmlouvy-nejvyssiroven"/>
    <w:pPr>
      <w:spacing w:before="0"/>
      <w:jc w:val="both"/>
    </w:pPr>
    <w:rPr>
      <w:b w:val="0"/>
      <w:sz w:val="20"/>
    </w:rPr>
  </w:style>
  <w:style w:type="paragraph" w:customStyle="1" w:styleId="odrka">
    <w:name w:val="odrážka"/>
    <w:basedOn w:val="Normln"/>
    <w:pPr>
      <w:keepLines/>
      <w:tabs>
        <w:tab w:val="left" w:pos="851"/>
      </w:tabs>
      <w:spacing w:after="40"/>
      <w:ind w:left="851" w:hanging="284"/>
    </w:pPr>
    <w:rPr>
      <w:szCs w:val="22"/>
    </w:rPr>
  </w:style>
  <w:style w:type="paragraph" w:customStyle="1" w:styleId="zarovnannasted">
    <w:name w:val="zarovnaný na střed"/>
    <w:basedOn w:val="Texttabulky"/>
    <w:pPr>
      <w:suppressLineNumbers w:val="0"/>
      <w:suppressAutoHyphens w:val="0"/>
      <w:spacing w:before="20" w:after="20"/>
      <w:jc w:val="center"/>
    </w:pPr>
    <w:rPr>
      <w:sz w:val="24"/>
      <w:szCs w:val="20"/>
    </w:rPr>
  </w:style>
  <w:style w:type="paragraph" w:customStyle="1" w:styleId="Normlnweb1">
    <w:name w:val="Normální (web)1"/>
    <w:basedOn w:val="Normln"/>
    <w:pPr>
      <w:widowControl/>
      <w:spacing w:before="100" w:after="100"/>
      <w:jc w:val="left"/>
    </w:pPr>
    <w:rPr>
      <w:rFonts w:ascii="Verdana" w:hAnsi="Verdana" w:cs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pPr>
      <w:widowControl/>
      <w:tabs>
        <w:tab w:val="num" w:pos="363"/>
      </w:tabs>
      <w:spacing w:before="120"/>
      <w:ind w:left="363" w:hanging="363"/>
      <w:jc w:val="both"/>
    </w:pPr>
    <w:rPr>
      <w:rFonts w:cs="font285"/>
      <w:color w:val="00000A"/>
      <w:sz w:val="22"/>
      <w:szCs w:val="22"/>
    </w:rPr>
  </w:style>
  <w:style w:type="paragraph" w:customStyle="1" w:styleId="ctrlshiftF4">
    <w:name w:val="ctrl_shift_F4"/>
    <w:pPr>
      <w:keepNext/>
      <w:keepLines/>
      <w:suppressAutoHyphens/>
      <w:spacing w:before="120"/>
    </w:pPr>
    <w:rPr>
      <w:b/>
      <w:bCs/>
      <w:u w:val="single"/>
      <w:lang w:eastAsia="ar-SA"/>
    </w:rPr>
  </w:style>
  <w:style w:type="paragraph" w:customStyle="1" w:styleId="33uroven">
    <w:name w:val="§3 3 uroven"/>
    <w:basedOn w:val="22uroven"/>
    <w:pPr>
      <w:tabs>
        <w:tab w:val="clear" w:pos="363"/>
      </w:tabs>
      <w:ind w:left="720" w:hanging="72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qFormat/>
    <w:pPr>
      <w:widowControl/>
      <w:suppressAutoHyphens w:val="0"/>
      <w:ind w:left="708"/>
      <w:jc w:val="left"/>
    </w:p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Brněnské vodárny a kanalizace, a.s.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cp:lastModifiedBy>František Kropáč</cp:lastModifiedBy>
  <cp:revision>2</cp:revision>
  <cp:lastPrinted>2024-06-28T05:02:00Z</cp:lastPrinted>
  <dcterms:created xsi:type="dcterms:W3CDTF">2024-07-10T13:29:00Z</dcterms:created>
  <dcterms:modified xsi:type="dcterms:W3CDTF">2024-07-10T13:29:00Z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