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576B7FE1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Content>
          <w:r w:rsidR="0063676F">
            <w:rPr>
              <w:sz w:val="18"/>
            </w:rPr>
            <w:t>SMLO</w:t>
          </w:r>
          <w:r w:rsidR="00E276CD">
            <w:rPr>
              <w:sz w:val="18"/>
            </w:rPr>
            <w:t>-1082</w:t>
          </w:r>
          <w:r w:rsidR="0063676F">
            <w:rPr>
              <w:sz w:val="18"/>
            </w:rPr>
            <w:t>/00066001/2024-MH/TKA/BS</w:t>
          </w:r>
        </w:sdtContent>
      </w:sdt>
    </w:p>
    <w:p w14:paraId="3568CDB6" w14:textId="32CD1F80" w:rsidR="002C146E" w:rsidRPr="009F36A3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47D6E357" w:rsidR="00AE5AC7" w:rsidRDefault="00000000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5E5C42C571A8418DACE2D8DF1C8AB225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Content>
          <w:r w:rsidR="00E276CD">
            <w:rPr>
              <w:b/>
              <w:bCs/>
            </w:rPr>
            <w:t>Lenkou Chmelovou, vedoucí oblasti Mnichovo Hradiště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2380ED4" w14:textId="77777777" w:rsidR="0063676F" w:rsidRPr="005A6B46" w:rsidRDefault="0063676F" w:rsidP="0063676F">
      <w:pPr>
        <w:tabs>
          <w:tab w:val="left" w:pos="3119"/>
        </w:tabs>
        <w:spacing w:before="0" w:after="0"/>
        <w:jc w:val="center"/>
        <w:rPr>
          <w:b/>
        </w:rPr>
      </w:pPr>
      <w:r w:rsidRPr="005A6B46">
        <w:rPr>
          <w:b/>
        </w:rPr>
        <w:t>FIBERNET, a.s.</w:t>
      </w:r>
    </w:p>
    <w:p w14:paraId="4B9DA9EA" w14:textId="77777777" w:rsidR="0063676F" w:rsidRPr="005A6B46" w:rsidRDefault="0063676F" w:rsidP="0063676F">
      <w:pPr>
        <w:tabs>
          <w:tab w:val="left" w:pos="3119"/>
        </w:tabs>
        <w:spacing w:before="0" w:after="0"/>
        <w:rPr>
          <w:b/>
        </w:rPr>
      </w:pPr>
    </w:p>
    <w:p w14:paraId="7A8C5A1C" w14:textId="77777777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/>
        </w:rPr>
      </w:pPr>
      <w:r w:rsidRPr="005A6B46">
        <w:rPr>
          <w:b/>
        </w:rPr>
        <w:t xml:space="preserve">se sídlem: </w:t>
      </w:r>
      <w:r w:rsidRPr="005A6B46">
        <w:rPr>
          <w:b/>
        </w:rPr>
        <w:tab/>
      </w:r>
      <w:r w:rsidRPr="005A6B46">
        <w:rPr>
          <w:bCs/>
        </w:rPr>
        <w:t>Českobratrské nám. 1321, 293 01 Mladá Boleslav</w:t>
      </w:r>
    </w:p>
    <w:p w14:paraId="7569D7C9" w14:textId="77777777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5A6B46">
        <w:rPr>
          <w:b/>
        </w:rPr>
        <w:t xml:space="preserve">IČ: </w:t>
      </w:r>
      <w:r w:rsidRPr="005A6B46">
        <w:rPr>
          <w:b/>
        </w:rPr>
        <w:tab/>
      </w:r>
      <w:r w:rsidRPr="005A6B46">
        <w:rPr>
          <w:bCs/>
        </w:rPr>
        <w:t>27196763</w:t>
      </w:r>
    </w:p>
    <w:p w14:paraId="78881E58" w14:textId="77777777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5A6B46">
        <w:rPr>
          <w:b/>
        </w:rPr>
        <w:t xml:space="preserve">Zapsán/a v OR: </w:t>
      </w:r>
      <w:r w:rsidRPr="005A6B46">
        <w:rPr>
          <w:b/>
        </w:rPr>
        <w:tab/>
      </w:r>
      <w:r w:rsidRPr="005A6B46">
        <w:rPr>
          <w:bCs/>
        </w:rPr>
        <w:t>Krajský soud v Praze, odd. B, vložka č. 9961</w:t>
      </w:r>
    </w:p>
    <w:p w14:paraId="19011E91" w14:textId="45577A27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5A6B46">
        <w:rPr>
          <w:b/>
        </w:rPr>
        <w:t>Bankovní spojení:</w:t>
      </w:r>
      <w:r w:rsidRPr="005A6B46">
        <w:rPr>
          <w:b/>
        </w:rPr>
        <w:tab/>
      </w:r>
    </w:p>
    <w:p w14:paraId="4C6DFE38" w14:textId="3DB119BE" w:rsidR="0063676F" w:rsidRDefault="0063676F" w:rsidP="00AE5AC7">
      <w:pPr>
        <w:tabs>
          <w:tab w:val="left" w:pos="3119"/>
        </w:tabs>
        <w:spacing w:before="0" w:after="0"/>
        <w:ind w:left="3119" w:hanging="3119"/>
      </w:pPr>
      <w:r w:rsidRPr="005A6B46">
        <w:rPr>
          <w:b/>
        </w:rPr>
        <w:t>Zastoupena:</w:t>
      </w:r>
      <w:r w:rsidRPr="005A6B46">
        <w:rPr>
          <w:bCs/>
        </w:rPr>
        <w:t xml:space="preserve">                                         </w:t>
      </w:r>
    </w:p>
    <w:p w14:paraId="2CF0BFEF" w14:textId="4F99701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38DD29AD" w14:textId="24C90A36" w:rsidR="00AE5AC7" w:rsidRDefault="00AE5AC7" w:rsidP="00AE5AC7">
      <w:pPr>
        <w:tabs>
          <w:tab w:val="left" w:pos="3119"/>
        </w:tabs>
        <w:spacing w:after="0"/>
      </w:pPr>
    </w:p>
    <w:p w14:paraId="23E50BEC" w14:textId="77777777" w:rsidR="009F7BE7" w:rsidRDefault="009F7BE7" w:rsidP="009F36A3">
      <w:pPr>
        <w:tabs>
          <w:tab w:val="left" w:pos="4536"/>
        </w:tabs>
        <w:spacing w:before="0"/>
      </w:pP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BD6FDC4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Content>
            <w:p w14:paraId="35B2F54F" w14:textId="57D630DA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r w:rsidR="00E276CD">
                <w:t>753, 587/1 a 603/5</w:t>
              </w:r>
              <w:r w:rsidR="001E7AA8" w:rsidRPr="00C8753A">
                <w:t xml:space="preserve"> zapsaném na LV </w:t>
              </w:r>
              <w:r w:rsidR="00E276CD">
                <w:t>206</w:t>
              </w:r>
              <w:r w:rsidR="001E7AA8" w:rsidRPr="00C8753A">
                <w:t xml:space="preserve"> vedeném pro katastrální území</w:t>
              </w:r>
              <w:r w:rsidR="0063676F">
                <w:t xml:space="preserve"> </w:t>
              </w:r>
              <w:r w:rsidR="00E276CD">
                <w:t>Chudíř</w:t>
              </w:r>
              <w:r w:rsidR="001E7AA8" w:rsidRPr="00C8753A">
                <w:t>, obec</w:t>
              </w:r>
              <w:r w:rsidR="0063676F">
                <w:t xml:space="preserve"> </w:t>
              </w:r>
              <w:r w:rsidR="00E276CD">
                <w:t>Chudíř</w:t>
              </w:r>
              <w:r w:rsidR="001E7AA8" w:rsidRPr="00C8753A">
                <w:t>, zapsaném v katastru nemovitostí vedeném Katastrálním úřadem pro Středočeský kraj, Katastrální pracoviště</w:t>
              </w:r>
              <w:r w:rsidR="0063676F">
                <w:t xml:space="preserve"> Mladá Boleslav</w:t>
              </w:r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4CB9CB71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r w:rsidR="0063676F" w:rsidRPr="00E276CD">
        <w:rPr>
          <w:b/>
          <w:bCs/>
        </w:rPr>
        <w:t>„</w:t>
      </w:r>
      <w:r w:rsidR="0073142B" w:rsidRPr="00E276CD">
        <w:rPr>
          <w:b/>
          <w:bCs/>
        </w:rPr>
        <w:t>Optick</w:t>
      </w:r>
      <w:r w:rsidR="00E276CD" w:rsidRPr="00E276CD">
        <w:rPr>
          <w:b/>
          <w:bCs/>
        </w:rPr>
        <w:t>é připojení obce Chudíř</w:t>
      </w:r>
      <w:r w:rsidR="0063676F" w:rsidRPr="00E276CD">
        <w:rPr>
          <w:b/>
          <w:bCs/>
        </w:rPr>
        <w:t xml:space="preserve">“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r w:rsidR="00E276CD">
        <w:t>2692</w:t>
      </w:r>
      <w:r w:rsidR="0063676F">
        <w:t xml:space="preserve">/24/KSUS/MHT/TKA </w:t>
      </w:r>
      <w:r w:rsidRPr="009F36A3">
        <w:rPr>
          <w:b/>
        </w:rPr>
        <w:t xml:space="preserve">ze dne </w:t>
      </w:r>
      <w:r w:rsidR="00E276CD">
        <w:rPr>
          <w:b/>
        </w:rPr>
        <w:t>19</w:t>
      </w:r>
      <w:r w:rsidR="0063676F">
        <w:rPr>
          <w:b/>
        </w:rPr>
        <w:t>.</w:t>
      </w:r>
      <w:r w:rsidR="00E276CD">
        <w:rPr>
          <w:b/>
        </w:rPr>
        <w:t>4</w:t>
      </w:r>
      <w:r w:rsidR="0063676F">
        <w:rPr>
          <w:b/>
        </w:rPr>
        <w:t>.2024</w:t>
      </w:r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337FEDB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3529ECC2" w14:textId="77777777" w:rsidR="0063676F" w:rsidRDefault="0063676F" w:rsidP="0063676F">
      <w:pPr>
        <w:pStyle w:val="Nadpis4"/>
        <w:numPr>
          <w:ilvl w:val="0"/>
          <w:numId w:val="0"/>
        </w:numPr>
        <w:ind w:left="851"/>
      </w:pPr>
    </w:p>
    <w:p w14:paraId="3F32A991" w14:textId="77777777" w:rsidR="0073142B" w:rsidRPr="0073142B" w:rsidRDefault="0073142B" w:rsidP="0073142B">
      <w:pPr>
        <w:pStyle w:val="Nadpis5"/>
        <w:numPr>
          <w:ilvl w:val="0"/>
          <w:numId w:val="0"/>
        </w:numPr>
        <w:ind w:left="907"/>
      </w:pP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1571E7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77777777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559"/>
        <w:gridCol w:w="1134"/>
        <w:gridCol w:w="1413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63676F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559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134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413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63676F">
        <w:tc>
          <w:tcPr>
            <w:tcW w:w="3256" w:type="dxa"/>
          </w:tcPr>
          <w:p w14:paraId="052E4818" w14:textId="056B3E79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vozovky</w:t>
            </w:r>
          </w:p>
        </w:tc>
        <w:tc>
          <w:tcPr>
            <w:tcW w:w="1275" w:type="dxa"/>
          </w:tcPr>
          <w:p w14:paraId="1328EC74" w14:textId="77777777" w:rsidR="00E276CD" w:rsidRDefault="0063676F" w:rsidP="0073142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</w:t>
            </w:r>
            <w:r w:rsidR="0073142B">
              <w:rPr>
                <w:b/>
                <w:color w:val="000000"/>
                <w:sz w:val="22"/>
              </w:rPr>
              <w:t>I</w:t>
            </w:r>
            <w:r>
              <w:rPr>
                <w:b/>
                <w:color w:val="000000"/>
                <w:sz w:val="22"/>
              </w:rPr>
              <w:t>/</w:t>
            </w:r>
            <w:r w:rsidR="00E276CD">
              <w:rPr>
                <w:b/>
                <w:color w:val="000000"/>
                <w:sz w:val="22"/>
              </w:rPr>
              <w:t>27529</w:t>
            </w:r>
          </w:p>
          <w:p w14:paraId="5B907684" w14:textId="155C5B58" w:rsidR="0063676F" w:rsidRPr="009F36A3" w:rsidRDefault="00E276CD" w:rsidP="0073142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III/2759</w:t>
            </w:r>
          </w:p>
        </w:tc>
        <w:tc>
          <w:tcPr>
            <w:tcW w:w="851" w:type="dxa"/>
          </w:tcPr>
          <w:p w14:paraId="501F8FD3" w14:textId="72FCC3ED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9" w:type="dxa"/>
          </w:tcPr>
          <w:p w14:paraId="65DD84BD" w14:textId="3E652008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134" w:type="dxa"/>
          </w:tcPr>
          <w:p w14:paraId="7E3A46DC" w14:textId="4305FB21" w:rsidR="001E7AA8" w:rsidRPr="009F36A3" w:rsidRDefault="0073142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="0063676F">
              <w:rPr>
                <w:b/>
                <w:color w:val="000000"/>
                <w:sz w:val="22"/>
              </w:rPr>
              <w:t>3</w:t>
            </w:r>
            <w:r w:rsidR="00E276CD">
              <w:rPr>
                <w:b/>
                <w:color w:val="000000"/>
                <w:sz w:val="22"/>
              </w:rPr>
              <w:t>5</w:t>
            </w:r>
            <w:r w:rsidR="0063676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="0063676F"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3" w:type="dxa"/>
          </w:tcPr>
          <w:p w14:paraId="1CBD5DF6" w14:textId="634ACE3F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  <w:r w:rsidR="0073142B">
              <w:rPr>
                <w:b/>
                <w:color w:val="000000"/>
                <w:sz w:val="22"/>
              </w:rPr>
              <w:t>4</w:t>
            </w:r>
            <w:r>
              <w:rPr>
                <w:b/>
                <w:color w:val="000000"/>
                <w:sz w:val="22"/>
              </w:rPr>
              <w:t>.</w:t>
            </w:r>
            <w:r w:rsidR="00E276CD">
              <w:rPr>
                <w:b/>
                <w:color w:val="000000"/>
                <w:sz w:val="22"/>
              </w:rPr>
              <w:t>0</w:t>
            </w:r>
            <w:r>
              <w:rPr>
                <w:b/>
                <w:color w:val="000000"/>
                <w:sz w:val="22"/>
              </w:rPr>
              <w:t>00,-Kč</w:t>
            </w:r>
          </w:p>
        </w:tc>
      </w:tr>
      <w:tr w:rsidR="001E7AA8" w:rsidRPr="009F36A3" w14:paraId="6704806E" w14:textId="77777777" w:rsidTr="0063676F">
        <w:tc>
          <w:tcPr>
            <w:tcW w:w="3256" w:type="dxa"/>
          </w:tcPr>
          <w:p w14:paraId="18DA05A9" w14:textId="7D523D7C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7F17E7E7" w14:textId="04944011" w:rsidR="0063676F" w:rsidRPr="009F36A3" w:rsidRDefault="0063676F" w:rsidP="00E276C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</w:t>
            </w:r>
            <w:r w:rsidR="0073142B">
              <w:rPr>
                <w:b/>
                <w:color w:val="000000"/>
                <w:sz w:val="22"/>
              </w:rPr>
              <w:t>I</w:t>
            </w:r>
            <w:r>
              <w:rPr>
                <w:b/>
                <w:color w:val="000000"/>
                <w:sz w:val="22"/>
              </w:rPr>
              <w:t>/</w:t>
            </w:r>
            <w:r w:rsidR="00E276CD">
              <w:rPr>
                <w:b/>
                <w:color w:val="000000"/>
                <w:sz w:val="22"/>
              </w:rPr>
              <w:t>27529 III/2759</w:t>
            </w:r>
          </w:p>
        </w:tc>
        <w:tc>
          <w:tcPr>
            <w:tcW w:w="851" w:type="dxa"/>
          </w:tcPr>
          <w:p w14:paraId="53287C02" w14:textId="06466117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9" w:type="dxa"/>
          </w:tcPr>
          <w:p w14:paraId="532A3291" w14:textId="050EC269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134" w:type="dxa"/>
          </w:tcPr>
          <w:p w14:paraId="14E2B65A" w14:textId="616799D5" w:rsidR="001E7AA8" w:rsidRPr="009F36A3" w:rsidRDefault="00E276C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491</w:t>
            </w:r>
            <w:r w:rsidR="0063676F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="0063676F"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3" w:type="dxa"/>
          </w:tcPr>
          <w:p w14:paraId="587A4DB8" w14:textId="21D65CA9" w:rsidR="001E7AA8" w:rsidRPr="009F36A3" w:rsidRDefault="00E276C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196</w:t>
            </w:r>
            <w:r w:rsidR="0063676F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4</w:t>
            </w:r>
            <w:r w:rsidR="0063676F">
              <w:rPr>
                <w:b/>
                <w:color w:val="000000"/>
                <w:sz w:val="22"/>
              </w:rPr>
              <w:t>00,-Kč</w:t>
            </w:r>
          </w:p>
        </w:tc>
      </w:tr>
      <w:tr w:rsidR="001E7AA8" w:rsidRPr="009F36A3" w14:paraId="655CC867" w14:textId="77777777" w:rsidTr="0063676F">
        <w:tc>
          <w:tcPr>
            <w:tcW w:w="8075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413" w:type="dxa"/>
          </w:tcPr>
          <w:p w14:paraId="081D413F" w14:textId="36E209FC" w:rsidR="001E7AA8" w:rsidRPr="009F36A3" w:rsidRDefault="00E276C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210</w:t>
            </w:r>
            <w:r w:rsidR="0063676F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4</w:t>
            </w:r>
            <w:r w:rsidR="0063676F">
              <w:rPr>
                <w:b/>
                <w:color w:val="000000"/>
                <w:sz w:val="22"/>
              </w:rPr>
              <w:t>00,-Kč</w:t>
            </w:r>
          </w:p>
        </w:tc>
      </w:tr>
    </w:tbl>
    <w:p w14:paraId="3381124D" w14:textId="41EB5DBA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3A2506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17CAA3E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275D90A4" w14:textId="77777777" w:rsidR="0063676F" w:rsidRDefault="0063676F" w:rsidP="0063676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6C1D836D" w14:textId="77777777" w:rsidR="0063676F" w:rsidRDefault="0063676F" w:rsidP="0063676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0CADD28" w14:textId="77777777" w:rsidR="0073142B" w:rsidRDefault="0073142B" w:rsidP="0063676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197A7D4D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39A4C299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63676F">
            <w:t>Smlouva je sepsána ve 5 (pěti) stejnopisech s platností originálu, přičemž budoucí povinný obdrží 3 (tři) a budoucí oprávněný 2 (dva).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63D86BEC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</w:t>
      </w:r>
      <w:r>
        <w:rPr>
          <w:sz w:val="20"/>
          <w:szCs w:val="20"/>
        </w:rPr>
        <w:lastRenderedPageBreak/>
        <w:t xml:space="preserve">Středočeského kraje – Krajského úřadu, Odboru dopravy s uzavřením Smlouvy byl udělen dne </w:t>
      </w:r>
      <w:sdt>
        <w:sdtPr>
          <w:rPr>
            <w:sz w:val="20"/>
            <w:szCs w:val="20"/>
            <w:highlight w:val="yellow"/>
          </w:rPr>
          <w:id w:val="1142703371"/>
          <w:placeholder>
            <w:docPart w:val="C6B756690EAB4962A74D3F3AAA3986F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E276CD" w:rsidRPr="00E276CD">
            <w:rPr>
              <w:sz w:val="20"/>
              <w:szCs w:val="20"/>
              <w:highlight w:val="yellow"/>
            </w:rPr>
            <w:t>……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4C566070" w14:textId="77777777" w:rsidR="0063676F" w:rsidRDefault="0063676F" w:rsidP="0063676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D93026E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261E80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261E80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0BD13053" w14:textId="066CB4A2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99193016AD24B4AA3A2622CCB0479A8"/>
          </w:placeholder>
        </w:sdtPr>
        <w:sdtContent>
          <w:r w:rsidR="0063676F">
            <w:rPr>
              <w:b/>
            </w:rPr>
            <w:t>FIBERNET, a.s.</w:t>
          </w:r>
        </w:sdtContent>
      </w:sdt>
    </w:p>
    <w:p w14:paraId="73378517" w14:textId="03E31F6C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63676F">
        <w:t> Mnichově Hradišti</w:t>
      </w:r>
      <w:r w:rsidRPr="00885D66">
        <w:t xml:space="preserve"> dne</w:t>
      </w:r>
      <w:r w:rsidRPr="00885D66">
        <w:tab/>
        <w:t>V</w:t>
      </w:r>
      <w:r w:rsidR="0063676F">
        <w:t> Mladé Boleslavi</w:t>
      </w:r>
      <w:r w:rsidRPr="00885D66">
        <w:t xml:space="preserve"> dne </w:t>
      </w:r>
    </w:p>
    <w:p w14:paraId="33F9B240" w14:textId="77777777" w:rsidR="00261E80" w:rsidRDefault="00261E80" w:rsidP="00261E80">
      <w:pPr>
        <w:tabs>
          <w:tab w:val="center" w:pos="1701"/>
          <w:tab w:val="center" w:pos="6946"/>
        </w:tabs>
        <w:spacing w:before="0" w:after="0"/>
      </w:pPr>
    </w:p>
    <w:p w14:paraId="1CCFAD1E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028E338D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7E765A00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0625747B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1BD0752E" w14:textId="77777777" w:rsidR="0063676F" w:rsidRPr="00885D66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0D381480" w14:textId="77777777" w:rsidR="00261E80" w:rsidRPr="00885D66" w:rsidRDefault="00261E80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B771E69" w14:textId="70884A58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63676F">
        <w:rPr>
          <w:b/>
        </w:rPr>
        <w:t>Lenka Chmelová</w:t>
      </w:r>
      <w:r w:rsidRPr="00885D66">
        <w:rPr>
          <w:b/>
        </w:rPr>
        <w:tab/>
      </w:r>
    </w:p>
    <w:p w14:paraId="3568CE16" w14:textId="37990968" w:rsidR="00D25F05" w:rsidRPr="009F36A3" w:rsidRDefault="00261E80" w:rsidP="00261E8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5403ACAAA69045E391B8BF063317A3E6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5403ACAAA69045E391B8BF063317A3E6"/>
              </w:placeholder>
            </w:sdtPr>
            <w:sdtContent>
              <w:r w:rsidR="0063676F"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F99193016AD24B4AA3A2622CCB0479A8"/>
          </w:placeholder>
        </w:sdtPr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F99193016AD24B4AA3A2622CCB0479A8"/>
              </w:placeholder>
            </w:sdtPr>
            <w:sdtContent/>
          </w:sdt>
        </w:sdtContent>
      </w:sdt>
    </w:p>
    <w:sectPr w:rsidR="00D25F05" w:rsidRPr="009F36A3" w:rsidSect="00344C63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66BBD" w14:textId="77777777" w:rsidR="003F0B14" w:rsidRDefault="003F0B14">
      <w:r>
        <w:separator/>
      </w:r>
    </w:p>
  </w:endnote>
  <w:endnote w:type="continuationSeparator" w:id="0">
    <w:p w14:paraId="40B27143" w14:textId="77777777" w:rsidR="003F0B14" w:rsidRDefault="003F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917A9" w14:textId="77777777" w:rsidR="003F0B14" w:rsidRDefault="003F0B14">
      <w:r>
        <w:separator/>
      </w:r>
    </w:p>
  </w:footnote>
  <w:footnote w:type="continuationSeparator" w:id="0">
    <w:p w14:paraId="6EB1F312" w14:textId="77777777" w:rsidR="003F0B14" w:rsidRDefault="003F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14F1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1289"/>
    <w:rsid w:val="000A7313"/>
    <w:rsid w:val="000B1925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61E80"/>
    <w:rsid w:val="00271E02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E0972"/>
    <w:rsid w:val="00300D0C"/>
    <w:rsid w:val="00314353"/>
    <w:rsid w:val="003148E9"/>
    <w:rsid w:val="00332D74"/>
    <w:rsid w:val="00342985"/>
    <w:rsid w:val="00344C63"/>
    <w:rsid w:val="003670BA"/>
    <w:rsid w:val="00375E64"/>
    <w:rsid w:val="00377657"/>
    <w:rsid w:val="003826DD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15D"/>
    <w:rsid w:val="003D23E0"/>
    <w:rsid w:val="003D58A8"/>
    <w:rsid w:val="003F0B14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D00A5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45EC"/>
    <w:rsid w:val="005552E1"/>
    <w:rsid w:val="00560FA9"/>
    <w:rsid w:val="0056218B"/>
    <w:rsid w:val="00567281"/>
    <w:rsid w:val="0057066E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4CB4"/>
    <w:rsid w:val="00626F12"/>
    <w:rsid w:val="00631A4B"/>
    <w:rsid w:val="006332B0"/>
    <w:rsid w:val="0063676F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3142B"/>
    <w:rsid w:val="00747DFB"/>
    <w:rsid w:val="0075441F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F2D30"/>
    <w:rsid w:val="008F6B99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B5471"/>
    <w:rsid w:val="009B63D0"/>
    <w:rsid w:val="009C21E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30190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C5BCF"/>
    <w:rsid w:val="00BE0845"/>
    <w:rsid w:val="00BF10B9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476AB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276CD"/>
    <w:rsid w:val="00E36F9C"/>
    <w:rsid w:val="00E37BDA"/>
    <w:rsid w:val="00E5226E"/>
    <w:rsid w:val="00E52D29"/>
    <w:rsid w:val="00E61819"/>
    <w:rsid w:val="00E74187"/>
    <w:rsid w:val="00EA4428"/>
    <w:rsid w:val="00EA7122"/>
    <w:rsid w:val="00EB2CD0"/>
    <w:rsid w:val="00EB55B9"/>
    <w:rsid w:val="00EC7AC0"/>
    <w:rsid w:val="00ED2F85"/>
    <w:rsid w:val="00ED32DB"/>
    <w:rsid w:val="00ED46EE"/>
    <w:rsid w:val="00F22B7E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B66F8"/>
    <w:rsid w:val="00FC2F44"/>
    <w:rsid w:val="00FC5B21"/>
    <w:rsid w:val="00FD0FC4"/>
    <w:rsid w:val="00FE1215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E5C42C571A8418DACE2D8DF1C8A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60167-D165-4574-9652-9C37E5E35D0D}"/>
      </w:docPartPr>
      <w:docPartBody>
        <w:p w:rsidR="00310DC9" w:rsidRDefault="00310DC9" w:rsidP="00310DC9">
          <w:pPr>
            <w:pStyle w:val="5E5C42C571A8418DACE2D8DF1C8AB2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9193016AD24B4AA3A2622CCB047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A5B5-0274-4522-A3E9-EEBB2C5B0764}"/>
      </w:docPartPr>
      <w:docPartBody>
        <w:p w:rsidR="00E321D7" w:rsidRDefault="00E321D7" w:rsidP="00E321D7">
          <w:pPr>
            <w:pStyle w:val="F99193016AD24B4AA3A2622CCB0479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03ACAAA69045E391B8BF063317A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885E0-4B71-4F2C-BCF0-D64C0832B9A3}"/>
      </w:docPartPr>
      <w:docPartBody>
        <w:p w:rsidR="00E321D7" w:rsidRDefault="00E321D7" w:rsidP="00E321D7">
          <w:pPr>
            <w:pStyle w:val="5403ACAAA69045E391B8BF063317A3E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1289"/>
    <w:rsid w:val="000A2421"/>
    <w:rsid w:val="001206EF"/>
    <w:rsid w:val="00132E0F"/>
    <w:rsid w:val="00282231"/>
    <w:rsid w:val="00287E84"/>
    <w:rsid w:val="0029030A"/>
    <w:rsid w:val="002E648A"/>
    <w:rsid w:val="00310DC9"/>
    <w:rsid w:val="004502FE"/>
    <w:rsid w:val="004E0444"/>
    <w:rsid w:val="005B3AE1"/>
    <w:rsid w:val="005C09B3"/>
    <w:rsid w:val="005D0171"/>
    <w:rsid w:val="006E0F2F"/>
    <w:rsid w:val="007555B3"/>
    <w:rsid w:val="00792D94"/>
    <w:rsid w:val="008A17FC"/>
    <w:rsid w:val="009B5471"/>
    <w:rsid w:val="009E62E9"/>
    <w:rsid w:val="009F4CE6"/>
    <w:rsid w:val="00A324C2"/>
    <w:rsid w:val="00AF7762"/>
    <w:rsid w:val="00B01A1F"/>
    <w:rsid w:val="00B30190"/>
    <w:rsid w:val="00B431A5"/>
    <w:rsid w:val="00B46AF5"/>
    <w:rsid w:val="00B83F96"/>
    <w:rsid w:val="00C54F7F"/>
    <w:rsid w:val="00E321D7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21D7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5403ACAAA69045E391B8BF063317A3E6">
    <w:name w:val="5403ACAAA69045E391B8BF063317A3E6"/>
    <w:rsid w:val="00E321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1946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13405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2016-04-13T12:22:00Z</cp:lastPrinted>
  <dcterms:created xsi:type="dcterms:W3CDTF">2024-07-10T12:01:00Z</dcterms:created>
  <dcterms:modified xsi:type="dcterms:W3CDTF">2024-07-10T12:02:00Z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