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117" w:val="left"/>
        </w:tabs>
        <w:bidi w:val="0"/>
        <w:spacing w:before="0" w:after="20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Nechranice - betonový sokl v kabelovém kanálu“</w:t>
      </w:r>
      <w:bookmarkEnd w:id="3"/>
      <w:bookmarkEnd w:id="4"/>
      <w:bookmarkEnd w:id="5"/>
    </w:p>
    <w:p>
      <w:pPr>
        <w:pStyle w:val="Style11"/>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keepLines/>
        <w:widowControl w:val="0"/>
        <w:shd w:val="clear" w:color="auto" w:fill="auto"/>
        <w:bidi w:val="0"/>
        <w:spacing w:before="0" w:after="0" w:line="446"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CLIQOR, s.r.o.</w:t>
      </w:r>
    </w:p>
    <w:p>
      <w:pPr>
        <w:pStyle w:val="Style11"/>
        <w:keepNext w:val="0"/>
        <w:keepLines w:val="0"/>
        <w:widowControl w:val="0"/>
        <w:shd w:val="clear" w:color="auto" w:fill="auto"/>
        <w:bidi w:val="0"/>
        <w:spacing w:before="0" w:after="0" w:line="542"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0" w:line="492"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 xml:space="preserve">VD Nechranice - betonový sokl v kabelovém kanálu </w:t>
      </w:r>
      <w:r>
        <w:rPr>
          <w:color w:val="000000"/>
          <w:spacing w:val="0"/>
          <w:w w:val="100"/>
          <w:position w:val="0"/>
          <w:shd w:val="clear" w:color="auto" w:fill="auto"/>
          <w:lang w:val="cs-CZ" w:eastAsia="cs-CZ" w:bidi="cs-CZ"/>
        </w:rPr>
        <w:t>Dodavatel – společnost</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CLIQOR, s.r.o.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Bartoškova 1411/20, 140 00 Praha 4 - Nusle</w:t>
      </w:r>
    </w:p>
    <w:p>
      <w:pPr>
        <w:pStyle w:val="Style11"/>
        <w:keepNext w:val="0"/>
        <w:keepLines w:val="0"/>
        <w:widowControl w:val="0"/>
        <w:shd w:val="clear" w:color="auto" w:fill="auto"/>
        <w:bidi w:val="0"/>
        <w:spacing w:before="0" w:after="340" w:line="480" w:lineRule="auto"/>
        <w:ind w:left="0" w:right="0" w:firstLine="0"/>
        <w:jc w:val="left"/>
      </w:pPr>
      <w:r>
        <w:rPr>
          <w:color w:val="000000"/>
          <w:spacing w:val="0"/>
          <w:w w:val="100"/>
          <w:position w:val="0"/>
          <w:shd w:val="clear" w:color="auto" w:fill="auto"/>
          <w:lang w:val="cs-CZ" w:eastAsia="cs-CZ" w:bidi="cs-CZ"/>
        </w:rPr>
        <w:t>IČO: 05405891 jednající prostřednictvím (dále jen „dodavatel“),</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1"/>
        <w:keepNext w:val="0"/>
        <w:keepLines w:val="0"/>
        <w:widowControl w:val="0"/>
        <w:shd w:val="clear" w:color="auto" w:fill="auto"/>
        <w:bidi w:val="0"/>
        <w:spacing w:before="0" w:after="9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5213" w:val="left"/>
        </w:tabs>
        <w:bidi w:val="0"/>
        <w:spacing w:before="0" w:after="1480" w:line="240" w:lineRule="auto"/>
        <w:ind w:left="0" w:right="0" w:firstLine="0"/>
        <w:jc w:val="left"/>
      </w:pPr>
      <w:r>
        <w:rPr>
          <w:color w:val="000000"/>
          <w:spacing w:val="0"/>
          <w:w w:val="100"/>
          <w:position w:val="0"/>
          <w:shd w:val="clear" w:color="auto" w:fill="auto"/>
          <w:lang w:val="cs-CZ" w:eastAsia="cs-CZ" w:bidi="cs-CZ"/>
        </w:rPr>
        <w:t>Jméno:</w:t>
        <w:tab/>
        <w:t>Podpis:</w:t>
      </w:r>
    </w:p>
    <w:p>
      <w:pPr>
        <w:pStyle w:val="Style11"/>
        <w:keepNext w:val="0"/>
        <w:keepLines w:val="0"/>
        <w:widowControl w:val="0"/>
        <w:shd w:val="clear" w:color="auto" w:fill="auto"/>
        <w:tabs>
          <w:tab w:pos="2443" w:val="left"/>
        </w:tabs>
        <w:bidi w:val="0"/>
        <w:spacing w:before="0" w:after="960" w:line="240" w:lineRule="auto"/>
        <w:ind w:left="0" w:right="840" w:firstLine="0"/>
        <w:jc w:val="right"/>
      </w:pPr>
      <w:r>
        <w:rPr>
          <w:u w:val="single"/>
        </w:rPr>
        <w:t xml:space="preserve"> </w:t>
        <w:tab/>
      </w:r>
    </w:p>
    <w:p>
      <w:pPr>
        <w:pStyle w:val="Style11"/>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1"/>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footerReference w:type="default" r:id="rId5"/>
      <w:footnotePr>
        <w:pos w:val="pageBottom"/>
        <w:numFmt w:val="decimal"/>
        <w:numRestart w:val="continuous"/>
      </w:footnotePr>
      <w:pgSz w:w="11909" w:h="16838"/>
      <w:pgMar w:top="1104" w:left="1107" w:right="1105" w:bottom="2315"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00" w:line="343" w:lineRule="auto"/>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