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7221300011</w:t>
      </w:r>
    </w:p>
    <w:p>
      <w:pPr>
        <w:spacing w:line="425" w:lineRule="exact" w:before="0"/>
        <w:ind w:left="383" w:right="393"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383" w:right="396"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spacing w:before="1"/>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spacing w:before="11"/>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Kaničky</w:t>
      </w:r>
    </w:p>
    <w:p>
      <w:pPr>
        <w:pStyle w:val="BodyText"/>
        <w:tabs>
          <w:tab w:pos="2982" w:val="left" w:leader="none"/>
        </w:tabs>
        <w:ind w:left="102"/>
        <w:rPr>
          <w:rFonts w:ascii="Century Gothic" w:hAnsi="Century Gothic"/>
          <w:sz w:val="21"/>
        </w:rPr>
      </w:pPr>
      <w:r>
        <w:rPr/>
        <w:t>kontaktní</w:t>
      </w:r>
      <w:r>
        <w:rPr>
          <w:spacing w:val="-11"/>
        </w:rPr>
        <w:t> </w:t>
      </w:r>
      <w:r>
        <w:rPr>
          <w:spacing w:val="-2"/>
        </w:rPr>
        <w:t>adresa:</w:t>
      </w:r>
      <w:r>
        <w:rPr/>
        <w:tab/>
        <w:t>Obecní</w:t>
      </w:r>
      <w:r>
        <w:rPr>
          <w:spacing w:val="-6"/>
        </w:rPr>
        <w:t> </w:t>
      </w:r>
      <w:r>
        <w:rPr/>
        <w:t>úřad</w:t>
      </w:r>
      <w:r>
        <w:rPr>
          <w:spacing w:val="-5"/>
        </w:rPr>
        <w:t> </w:t>
      </w:r>
      <w:r>
        <w:rPr/>
        <w:t>Kaničky,</w:t>
      </w:r>
      <w:r>
        <w:rPr>
          <w:spacing w:val="-6"/>
        </w:rPr>
        <w:t> </w:t>
      </w:r>
      <w:r>
        <w:rPr/>
        <w:t>Kaničky</w:t>
      </w:r>
      <w:r>
        <w:rPr>
          <w:spacing w:val="-3"/>
        </w:rPr>
        <w:t> </w:t>
      </w:r>
      <w:r>
        <w:rPr/>
        <w:t>2,</w:t>
      </w:r>
      <w:r>
        <w:rPr>
          <w:spacing w:val="-5"/>
        </w:rPr>
        <w:t> </w:t>
      </w:r>
      <w:r>
        <w:rPr/>
        <w:t>345</w:t>
      </w:r>
      <w:r>
        <w:rPr>
          <w:spacing w:val="-4"/>
        </w:rPr>
        <w:t> </w:t>
      </w:r>
      <w:r>
        <w:rPr/>
        <w:t>43</w:t>
      </w:r>
      <w:r>
        <w:rPr>
          <w:spacing w:val="-3"/>
        </w:rPr>
        <w:t> </w:t>
      </w:r>
      <w:r>
        <w:rPr>
          <w:rFonts w:ascii="Calibri" w:hAnsi="Calibri"/>
          <w:color w:val="242424"/>
          <w:spacing w:val="-2"/>
          <w:sz w:val="21"/>
        </w:rPr>
        <w:t>Kolove</w:t>
      </w:r>
      <w:r>
        <w:rPr>
          <w:rFonts w:ascii="Century Gothic" w:hAnsi="Century Gothic"/>
          <w:color w:val="242424"/>
          <w:spacing w:val="-2"/>
          <w:sz w:val="21"/>
        </w:rPr>
        <w:t>č</w:t>
      </w:r>
    </w:p>
    <w:p>
      <w:pPr>
        <w:pStyle w:val="BodyText"/>
        <w:tabs>
          <w:tab w:pos="2982" w:val="left" w:leader="none"/>
        </w:tabs>
        <w:spacing w:before="2"/>
        <w:ind w:left="102"/>
      </w:pPr>
      <w:r>
        <w:rPr>
          <w:spacing w:val="-4"/>
        </w:rPr>
        <w:t>IČO:</w:t>
      </w:r>
      <w:r>
        <w:rPr/>
        <w:tab/>
      </w:r>
      <w:r>
        <w:rPr>
          <w:spacing w:val="-2"/>
        </w:rPr>
        <w:t>00572497</w:t>
      </w:r>
    </w:p>
    <w:p>
      <w:pPr>
        <w:pStyle w:val="BodyText"/>
        <w:tabs>
          <w:tab w:pos="2982" w:val="left" w:leader="none"/>
        </w:tabs>
        <w:spacing w:line="265" w:lineRule="exact"/>
        <w:ind w:left="102"/>
      </w:pPr>
      <w:r>
        <w:rPr>
          <w:spacing w:val="-2"/>
        </w:rPr>
        <w:t>zastoupená:</w:t>
      </w:r>
      <w:r>
        <w:rPr/>
        <w:tab/>
        <w:t>Jiřím</w:t>
      </w:r>
      <w:r>
        <w:rPr>
          <w:spacing w:val="-2"/>
        </w:rPr>
        <w:t> </w:t>
      </w:r>
      <w:r>
        <w:rPr/>
        <w:t>R</w:t>
      </w:r>
      <w:r>
        <w:rPr>
          <w:spacing w:val="-2"/>
        </w:rPr>
        <w:t> </w:t>
      </w:r>
      <w:r>
        <w:rPr/>
        <w:t>a</w:t>
      </w:r>
      <w:r>
        <w:rPr>
          <w:spacing w:val="-3"/>
        </w:rPr>
        <w:t> </w:t>
      </w:r>
      <w:r>
        <w:rPr/>
        <w:t>d</w:t>
      </w:r>
      <w:r>
        <w:rPr>
          <w:spacing w:val="-1"/>
        </w:rPr>
        <w:t> </w:t>
      </w:r>
      <w:r>
        <w:rPr/>
        <w:t>o</w:t>
      </w:r>
      <w:r>
        <w:rPr>
          <w:spacing w:val="-2"/>
        </w:rPr>
        <w:t> </w:t>
      </w:r>
      <w:r>
        <w:rPr/>
        <w:t>u,</w:t>
      </w:r>
      <w:r>
        <w:rPr>
          <w:spacing w:val="-2"/>
        </w:rPr>
        <w:t> 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5815321/0710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line="265" w:lineRule="exact"/>
        <w:ind w:left="2296" w:right="2305"/>
      </w:pPr>
      <w:r>
        <w:rPr>
          <w:spacing w:val="-5"/>
        </w:rPr>
        <w:t>I.</w:t>
      </w:r>
    </w:p>
    <w:p>
      <w:pPr>
        <w:pStyle w:val="Heading2"/>
        <w:spacing w:line="265" w:lineRule="exact"/>
        <w:ind w:right="396"/>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7221300011 o poskytnutí finančních prostředků ze Státního fondu životního prostředí ČR ze dne 11. 4. 2023, ve znění změny č. 1 ze</w:t>
      </w:r>
      <w:r>
        <w:rPr>
          <w:spacing w:val="45"/>
        </w:rPr>
        <w:t> </w:t>
      </w:r>
      <w:r>
        <w:rPr/>
        <w:t>dne</w:t>
      </w:r>
      <w:r>
        <w:rPr>
          <w:spacing w:val="46"/>
        </w:rPr>
        <w:t> </w:t>
      </w:r>
      <w:r>
        <w:rPr/>
        <w:t>2.</w:t>
      </w:r>
      <w:r>
        <w:rPr>
          <w:spacing w:val="46"/>
        </w:rPr>
        <w:t> </w:t>
      </w:r>
      <w:r>
        <w:rPr/>
        <w:t>5.</w:t>
      </w:r>
      <w:r>
        <w:rPr>
          <w:spacing w:val="47"/>
        </w:rPr>
        <w:t> </w:t>
      </w:r>
      <w:r>
        <w:rPr/>
        <w:t>2024</w:t>
      </w:r>
      <w:r>
        <w:rPr>
          <w:spacing w:val="49"/>
        </w:rPr>
        <w:t> </w:t>
      </w:r>
      <w:r>
        <w:rPr/>
        <w:t>v</w:t>
      </w:r>
      <w:r>
        <w:rPr>
          <w:spacing w:val="-2"/>
        </w:rPr>
        <w:t> </w:t>
      </w:r>
      <w:r>
        <w:rPr/>
        <w:t>rámci</w:t>
      </w:r>
      <w:r>
        <w:rPr>
          <w:spacing w:val="49"/>
        </w:rPr>
        <w:t> </w:t>
      </w:r>
      <w:r>
        <w:rPr/>
        <w:t>Programu</w:t>
      </w:r>
      <w:r>
        <w:rPr>
          <w:spacing w:val="47"/>
        </w:rPr>
        <w:t> </w:t>
      </w:r>
      <w:r>
        <w:rPr/>
        <w:t>financovaného</w:t>
      </w:r>
      <w:r>
        <w:rPr>
          <w:spacing w:val="47"/>
        </w:rPr>
        <w:t> </w:t>
      </w:r>
      <w:r>
        <w:rPr/>
        <w:t>z</w:t>
      </w:r>
      <w:r>
        <w:rPr>
          <w:spacing w:val="1"/>
        </w:rPr>
        <w:t> </w:t>
      </w:r>
      <w:r>
        <w:rPr/>
        <w:t>prostředků</w:t>
      </w:r>
      <w:r>
        <w:rPr>
          <w:spacing w:val="47"/>
        </w:rPr>
        <w:t> </w:t>
      </w:r>
      <w:r>
        <w:rPr/>
        <w:t>Modernizačního</w:t>
      </w:r>
      <w:r>
        <w:rPr>
          <w:spacing w:val="46"/>
        </w:rPr>
        <w:t> </w:t>
      </w:r>
      <w:r>
        <w:rPr/>
        <w:t>fondu</w:t>
      </w:r>
      <w:r>
        <w:rPr>
          <w:spacing w:val="47"/>
        </w:rPr>
        <w:t> </w:t>
      </w:r>
      <w:r>
        <w:rPr/>
        <w:t>(dále</w:t>
      </w:r>
      <w:r>
        <w:rPr>
          <w:spacing w:val="45"/>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right="393"/>
      </w:pPr>
      <w:r>
        <w:rPr/>
        <w:t>„FVE</w:t>
      </w:r>
      <w:r>
        <w:rPr>
          <w:spacing w:val="-6"/>
        </w:rPr>
        <w:t> </w:t>
      </w:r>
      <w:r>
        <w:rPr/>
        <w:t>-</w:t>
      </w:r>
      <w:r>
        <w:rPr>
          <w:spacing w:val="-4"/>
        </w:rPr>
        <w:t> </w:t>
      </w:r>
      <w:r>
        <w:rPr/>
        <w:t>Obec</w:t>
      </w:r>
      <w:r>
        <w:rPr>
          <w:spacing w:val="-5"/>
        </w:rPr>
        <w:t> </w:t>
      </w:r>
      <w:r>
        <w:rPr>
          <w:spacing w:val="-2"/>
        </w:rPr>
        <w:t>Kaničky“</w:t>
      </w:r>
    </w:p>
    <w:p>
      <w:pPr>
        <w:pStyle w:val="BodyText"/>
        <w:spacing w:before="118"/>
        <w:ind w:left="383" w:right="6434"/>
        <w:jc w:val="center"/>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cente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39"/>
      </w:pPr>
      <w:r>
        <w:rPr>
          <w:spacing w:val="-5"/>
        </w:rPr>
        <w:t>II.</w:t>
      </w:r>
    </w:p>
    <w:p>
      <w:pPr>
        <w:pStyle w:val="Heading2"/>
        <w:ind w:right="3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371</w:t>
      </w:r>
      <w:r>
        <w:rPr>
          <w:b/>
          <w:spacing w:val="-3"/>
          <w:sz w:val="20"/>
        </w:rPr>
        <w:t> </w:t>
      </w:r>
      <w:r>
        <w:rPr>
          <w:b/>
          <w:sz w:val="20"/>
        </w:rPr>
        <w:t>044,23 Kč </w:t>
      </w:r>
      <w:r>
        <w:rPr>
          <w:sz w:val="20"/>
        </w:rPr>
        <w:t>(slovy: tři sta sedmdesát jeden tisíc čtyřicet čtyři korun českých, dvacet tři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656</w:t>
      </w:r>
      <w:r>
        <w:rPr>
          <w:spacing w:val="-1"/>
          <w:sz w:val="20"/>
        </w:rPr>
        <w:t> </w:t>
      </w:r>
      <w:r>
        <w:rPr>
          <w:sz w:val="20"/>
        </w:rPr>
        <w:t>110,45 Kč (z toho částka ve výši 634 397 Kč odpovídá investičním výdajům a částka ve výši 21 713,45 Kč odpovídá neinvestičním výdajům).</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rPr>
          <w:sz w:val="26"/>
        </w:rPr>
      </w:pPr>
    </w:p>
    <w:p>
      <w:pPr>
        <w:pStyle w:val="Heading1"/>
        <w:spacing w:before="185"/>
        <w:ind w:right="396"/>
      </w:pPr>
      <w:r>
        <w:rPr>
          <w:spacing w:val="-4"/>
        </w:rPr>
        <w:t>III.</w:t>
      </w:r>
    </w:p>
    <w:p>
      <w:pPr>
        <w:pStyle w:val="Heading2"/>
        <w:ind w:right="396"/>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08" w:hanging="360"/>
        <w:jc w:val="left"/>
        <w:rPr>
          <w:sz w:val="20"/>
        </w:rPr>
      </w:pPr>
      <w:r>
        <w:rPr>
          <w:sz w:val="20"/>
        </w:rPr>
        <w:t>splní</w:t>
      </w:r>
      <w:r>
        <w:rPr>
          <w:spacing w:val="32"/>
          <w:sz w:val="20"/>
        </w:rPr>
        <w:t> </w:t>
      </w:r>
      <w:r>
        <w:rPr>
          <w:sz w:val="20"/>
        </w:rPr>
        <w:t>účel</w:t>
      </w:r>
      <w:r>
        <w:rPr>
          <w:spacing w:val="33"/>
          <w:sz w:val="20"/>
        </w:rPr>
        <w:t> </w:t>
      </w:r>
      <w:r>
        <w:rPr>
          <w:sz w:val="20"/>
        </w:rPr>
        <w:t>akce</w:t>
      </w:r>
      <w:r>
        <w:rPr>
          <w:spacing w:val="32"/>
          <w:sz w:val="20"/>
        </w:rPr>
        <w:t> </w:t>
      </w:r>
      <w:r>
        <w:rPr>
          <w:sz w:val="20"/>
        </w:rPr>
        <w:t>„FVE</w:t>
      </w:r>
      <w:r>
        <w:rPr>
          <w:spacing w:val="34"/>
          <w:sz w:val="20"/>
        </w:rPr>
        <w:t> </w:t>
      </w:r>
      <w:r>
        <w:rPr>
          <w:sz w:val="20"/>
        </w:rPr>
        <w:t>–</w:t>
      </w:r>
      <w:r>
        <w:rPr>
          <w:spacing w:val="34"/>
          <w:sz w:val="20"/>
        </w:rPr>
        <w:t> </w:t>
      </w:r>
      <w:r>
        <w:rPr>
          <w:sz w:val="20"/>
        </w:rPr>
        <w:t>Obec</w:t>
      </w:r>
      <w:r>
        <w:rPr>
          <w:spacing w:val="32"/>
          <w:sz w:val="20"/>
        </w:rPr>
        <w:t> </w:t>
      </w:r>
      <w:r>
        <w:rPr>
          <w:sz w:val="20"/>
        </w:rPr>
        <w:t>Kaničky“</w:t>
      </w:r>
      <w:r>
        <w:rPr>
          <w:spacing w:val="32"/>
          <w:sz w:val="20"/>
        </w:rPr>
        <w:t> </w:t>
      </w:r>
      <w:r>
        <w:rPr>
          <w:sz w:val="20"/>
        </w:rPr>
        <w:t>tím,</w:t>
      </w:r>
      <w:r>
        <w:rPr>
          <w:spacing w:val="33"/>
          <w:sz w:val="20"/>
        </w:rPr>
        <w:t> </w:t>
      </w:r>
      <w:r>
        <w:rPr>
          <w:sz w:val="20"/>
        </w:rPr>
        <w:t>že</w:t>
      </w:r>
      <w:r>
        <w:rPr>
          <w:spacing w:val="32"/>
          <w:sz w:val="20"/>
        </w:rPr>
        <w:t> </w:t>
      </w:r>
      <w:r>
        <w:rPr>
          <w:sz w:val="20"/>
        </w:rPr>
        <w:t>akce</w:t>
      </w:r>
      <w:r>
        <w:rPr>
          <w:spacing w:val="32"/>
          <w:sz w:val="20"/>
        </w:rPr>
        <w:t> </w:t>
      </w:r>
      <w:r>
        <w:rPr>
          <w:sz w:val="20"/>
        </w:rPr>
        <w:t>bude</w:t>
      </w:r>
      <w:r>
        <w:rPr>
          <w:spacing w:val="32"/>
          <w:sz w:val="20"/>
        </w:rPr>
        <w:t> </w:t>
      </w:r>
      <w:r>
        <w:rPr>
          <w:sz w:val="20"/>
        </w:rPr>
        <w:t>provedena</w:t>
      </w:r>
      <w:r>
        <w:rPr>
          <w:spacing w:val="32"/>
          <w:sz w:val="20"/>
        </w:rPr>
        <w:t> </w:t>
      </w:r>
      <w:r>
        <w:rPr>
          <w:sz w:val="20"/>
        </w:rPr>
        <w:t>v souladu</w:t>
      </w:r>
      <w:r>
        <w:rPr>
          <w:spacing w:val="35"/>
          <w:sz w:val="20"/>
        </w:rPr>
        <w:t> </w:t>
      </w:r>
      <w:r>
        <w:rPr>
          <w:sz w:val="20"/>
        </w:rPr>
        <w:t>s</w:t>
      </w:r>
      <w:r>
        <w:rPr>
          <w:spacing w:val="-1"/>
          <w:sz w:val="20"/>
        </w:rPr>
        <w:t> </w:t>
      </w:r>
      <w:r>
        <w:rPr>
          <w:sz w:val="20"/>
        </w:rPr>
        <w:t>Výzvou,</w:t>
      </w:r>
      <w:r>
        <w:rPr>
          <w:spacing w:val="33"/>
          <w:sz w:val="20"/>
        </w:rPr>
        <w:t> </w:t>
      </w:r>
      <w:r>
        <w:rPr>
          <w:sz w:val="20"/>
        </w:rPr>
        <w:t>žádostí o podporu a jejími přílohami a touto 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40" w:lineRule="auto" w:before="106"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 výstavbě</w:t>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9,96 kWp a instalací akumulace o kapacitě 10,40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0" w:hRule="atLeast"/>
        </w:trPr>
        <w:tc>
          <w:tcPr>
            <w:tcW w:w="3771"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10.40</w:t>
            </w:r>
          </w:p>
        </w:tc>
      </w:tr>
      <w:tr>
        <w:trPr>
          <w:trHeight w:val="505"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2"/>
              <w:ind w:left="388"/>
              <w:rPr>
                <w:sz w:val="20"/>
              </w:rPr>
            </w:pPr>
            <w:r>
              <w:rPr>
                <w:spacing w:val="-5"/>
                <w:sz w:val="20"/>
              </w:rPr>
              <w:t>kWp</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4"/>
                <w:sz w:val="20"/>
              </w:rPr>
              <w:t>9.96</w:t>
            </w:r>
          </w:p>
        </w:tc>
      </w:tr>
      <w:tr>
        <w:trPr>
          <w:trHeight w:val="508" w:hRule="atLeast"/>
        </w:trPr>
        <w:tc>
          <w:tcPr>
            <w:tcW w:w="3771" w:type="dxa"/>
          </w:tcPr>
          <w:p>
            <w:pPr>
              <w:pStyle w:val="TableParagraph"/>
              <w:spacing w:before="2"/>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2"/>
              <w:ind w:left="0" w:right="420"/>
              <w:jc w:val="right"/>
              <w:rPr>
                <w:sz w:val="20"/>
              </w:rPr>
            </w:pPr>
            <w:r>
              <w:rPr>
                <w:sz w:val="20"/>
              </w:rPr>
              <w:t>t</w:t>
            </w:r>
            <w:r>
              <w:rPr>
                <w:spacing w:val="-2"/>
                <w:sz w:val="20"/>
              </w:rPr>
              <w:t> CO2/rok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4"/>
                <w:sz w:val="20"/>
              </w:rPr>
              <w:t>5.87</w:t>
            </w:r>
          </w:p>
        </w:tc>
      </w:tr>
      <w:tr>
        <w:trPr>
          <w:trHeight w:val="530" w:hRule="atLeast"/>
        </w:trPr>
        <w:tc>
          <w:tcPr>
            <w:tcW w:w="3771" w:type="dxa"/>
          </w:tcPr>
          <w:p>
            <w:pPr>
              <w:pStyle w:val="TableParagraph"/>
              <w:spacing w:line="264" w:lineRule="exact"/>
              <w:ind w:left="388"/>
              <w:rPr>
                <w:sz w:val="20"/>
              </w:rPr>
            </w:pPr>
            <w:r>
              <w:rPr>
                <w:sz w:val="20"/>
              </w:rPr>
              <w:t>Sníženi</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17.76</w:t>
            </w:r>
          </w:p>
        </w:tc>
      </w:tr>
      <w:tr>
        <w:trPr>
          <w:trHeight w:val="508"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2"/>
              <w:ind w:left="0" w:right="444"/>
              <w:jc w:val="right"/>
              <w:rPr>
                <w:sz w:val="20"/>
              </w:rPr>
            </w:pPr>
            <w:r>
              <w:rPr>
                <w:spacing w:val="-2"/>
                <w:sz w:val="20"/>
              </w:rPr>
              <w:t>MWh/rok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4"/>
                <w:sz w:val="20"/>
              </w:rPr>
              <w:t>8.24</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20"/>
        </w:rPr>
        <w:t> </w:t>
      </w:r>
      <w:r>
        <w:rPr/>
        <w:t>uvedené</w:t>
      </w:r>
      <w:r>
        <w:rPr>
          <w:spacing w:val="18"/>
        </w:rPr>
        <w:t> </w:t>
      </w:r>
      <w:r>
        <w:rPr/>
        <w:t>lhůty.</w:t>
      </w:r>
      <w:r>
        <w:rPr>
          <w:spacing w:val="20"/>
        </w:rPr>
        <w:t> </w:t>
      </w:r>
      <w:r>
        <w:rPr/>
        <w:t>Příjemce</w:t>
      </w:r>
      <w:r>
        <w:rPr>
          <w:spacing w:val="19"/>
        </w:rPr>
        <w:t> </w:t>
      </w:r>
      <w:r>
        <w:rPr/>
        <w:t>podpory</w:t>
      </w:r>
      <w:r>
        <w:rPr>
          <w:spacing w:val="19"/>
        </w:rPr>
        <w:t> </w:t>
      </w:r>
      <w:r>
        <w:rPr/>
        <w:t>je</w:t>
      </w:r>
      <w:r>
        <w:rPr>
          <w:spacing w:val="19"/>
        </w:rPr>
        <w:t> </w:t>
      </w:r>
      <w:r>
        <w:rPr/>
        <w:t>v</w:t>
      </w:r>
      <w:r>
        <w:rPr>
          <w:spacing w:val="-1"/>
        </w:rPr>
        <w:t> </w:t>
      </w:r>
      <w:r>
        <w:rPr/>
        <w:t>takovém</w:t>
      </w:r>
      <w:r>
        <w:rPr>
          <w:spacing w:val="19"/>
        </w:rPr>
        <w:t> </w:t>
      </w:r>
      <w:r>
        <w:rPr/>
        <w:t>případě</w:t>
      </w:r>
      <w:r>
        <w:rPr>
          <w:spacing w:val="19"/>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395"/>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w:t>
      </w:r>
      <w:r>
        <w:rPr>
          <w:spacing w:val="8"/>
          <w:sz w:val="20"/>
        </w:rPr>
        <w:t> </w:t>
      </w:r>
      <w:r>
        <w:rPr>
          <w:sz w:val="20"/>
        </w:rPr>
        <w:t>0,1 % z</w:t>
      </w:r>
      <w:r>
        <w:rPr>
          <w:spacing w:val="-3"/>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pPr>
      <w:r>
        <w:rPr>
          <w:spacing w:val="-5"/>
        </w:rPr>
        <w:t>VI.</w:t>
      </w:r>
    </w:p>
    <w:p>
      <w:pPr>
        <w:pStyle w:val="Heading2"/>
        <w:spacing w:line="265" w:lineRule="exact"/>
        <w:ind w:right="394"/>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3"/>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9"/>
          <w:sz w:val="20"/>
        </w:rPr>
        <w:t> </w:t>
      </w:r>
      <w:r>
        <w:rPr>
          <w:sz w:val="20"/>
        </w:rPr>
        <w:t>pro</w:t>
      </w:r>
      <w:r>
        <w:rPr>
          <w:spacing w:val="-8"/>
          <w:sz w:val="20"/>
        </w:rPr>
        <w:t> </w:t>
      </w:r>
      <w:r>
        <w:rPr>
          <w:sz w:val="20"/>
        </w:rPr>
        <w:t>programy</w:t>
      </w:r>
      <w:r>
        <w:rPr>
          <w:spacing w:val="-9"/>
          <w:sz w:val="20"/>
        </w:rPr>
        <w:t> </w:t>
      </w:r>
      <w:r>
        <w:rPr>
          <w:sz w:val="20"/>
        </w:rPr>
        <w:t>spolufinancované</w:t>
      </w:r>
      <w:r>
        <w:rPr>
          <w:spacing w:val="-9"/>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entury Gothic">
    <w:altName w:val="Century Gothic"/>
    <w:charset w:val="EE"/>
    <w:family w:val="swiss"/>
    <w:pitch w:val="variable"/>
  </w:font>
  <w:font w:name="Calibri">
    <w:altName w:val="Calibri"/>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8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1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83" w:right="394"/>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3"/>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2024-06-03T05:53:35Z</dcterms:created>
  <dcterms:modified xsi:type="dcterms:W3CDTF">2024-06-03T05:53:35Z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pro Microsoft 365</vt:lpwstr>
  </property>
  <property fmtid="{D5CDD505-2E9C-101B-9397-08002B2CF9AE}" pid="4" name="LastSaved">
    <vt:filetime>2024-06-03T00:00:00Z</vt:filetime>
  </property>
</Properties>
</file>