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7221300312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Travčice</w:t>
      </w:r>
    </w:p>
    <w:p>
      <w:pPr>
        <w:pStyle w:val="BodyText"/>
        <w:tabs>
          <w:tab w:pos="2982" w:val="left" w:leader="none"/>
        </w:tabs>
        <w:ind w:left="102" w:right="1935"/>
      </w:pPr>
      <w:r>
        <w:rPr/>
        <w:t>kontaktní adresa:</w:t>
        <w:tab/>
        <w:t>Obecní</w:t>
      </w:r>
      <w:r>
        <w:rPr>
          <w:spacing w:val="-7"/>
        </w:rPr>
        <w:t> </w:t>
      </w:r>
      <w:r>
        <w:rPr/>
        <w:t>úřad</w:t>
      </w:r>
      <w:r>
        <w:rPr>
          <w:spacing w:val="-7"/>
        </w:rPr>
        <w:t> </w:t>
      </w:r>
      <w:r>
        <w:rPr/>
        <w:t>Travčice,</w:t>
      </w:r>
      <w:r>
        <w:rPr>
          <w:spacing w:val="-7"/>
        </w:rPr>
        <w:t> </w:t>
      </w:r>
      <w:r>
        <w:rPr/>
        <w:t>Travčice</w:t>
      </w:r>
      <w:r>
        <w:rPr>
          <w:spacing w:val="-6"/>
        </w:rPr>
        <w:t> </w:t>
      </w:r>
      <w:r>
        <w:rPr/>
        <w:t>150,</w:t>
      </w:r>
      <w:r>
        <w:rPr>
          <w:spacing w:val="-7"/>
        </w:rPr>
        <w:t> </w:t>
      </w:r>
      <w:r>
        <w:rPr/>
        <w:t>412</w:t>
      </w:r>
      <w:r>
        <w:rPr>
          <w:spacing w:val="-4"/>
        </w:rPr>
        <w:t> </w:t>
      </w:r>
      <w:r>
        <w:rPr/>
        <w:t>01</w:t>
      </w:r>
      <w:r>
        <w:rPr>
          <w:spacing w:val="-5"/>
        </w:rPr>
        <w:t> </w:t>
      </w:r>
      <w:r>
        <w:rPr/>
        <w:t>Litoměřice </w:t>
      </w:r>
      <w:r>
        <w:rPr>
          <w:spacing w:val="-4"/>
        </w:rPr>
        <w:t>IČO:</w:t>
      </w:r>
      <w:r>
        <w:rPr/>
        <w:tab/>
      </w:r>
      <w:r>
        <w:rPr>
          <w:spacing w:val="-2"/>
        </w:rPr>
        <w:t>00264504</w:t>
      </w:r>
    </w:p>
    <w:p>
      <w:pPr>
        <w:pStyle w:val="BodyText"/>
        <w:tabs>
          <w:tab w:pos="2975" w:val="left" w:leader="none"/>
        </w:tabs>
        <w:spacing w:line="265" w:lineRule="exact"/>
        <w:ind w:left="102"/>
      </w:pPr>
      <w:r>
        <w:rPr>
          <w:spacing w:val="-2"/>
        </w:rPr>
        <w:t>zastoupená:</w:t>
      </w:r>
      <w:r>
        <w:rPr/>
        <w:tab/>
        <w:t>Pavlem</w:t>
      </w:r>
      <w:r>
        <w:rPr>
          <w:spacing w:val="-4"/>
        </w:rPr>
        <w:t> </w:t>
      </w:r>
      <w:r>
        <w:rPr/>
        <w:t>Š</w:t>
      </w:r>
      <w:r>
        <w:rPr>
          <w:spacing w:val="-2"/>
        </w:rPr>
        <w:t> </w:t>
      </w:r>
      <w:r>
        <w:rPr/>
        <w:t>t</w:t>
      </w:r>
      <w:r>
        <w:rPr>
          <w:spacing w:val="-3"/>
        </w:rPr>
        <w:t> </w:t>
      </w:r>
      <w:r>
        <w:rPr/>
        <w:t>r</w:t>
      </w:r>
      <w:r>
        <w:rPr>
          <w:spacing w:val="-2"/>
        </w:rPr>
        <w:t> </w:t>
      </w:r>
      <w:r>
        <w:rPr/>
        <w:t>o</w:t>
      </w:r>
      <w:r>
        <w:rPr>
          <w:spacing w:val="-1"/>
        </w:rPr>
        <w:t> </w:t>
      </w:r>
      <w:r>
        <w:rPr/>
        <w:t>s</w:t>
      </w:r>
      <w:r>
        <w:rPr>
          <w:spacing w:val="-3"/>
        </w:rPr>
        <w:t> </w:t>
      </w:r>
      <w:r>
        <w:rPr/>
        <w:t>e</w:t>
      </w:r>
      <w:r>
        <w:rPr>
          <w:spacing w:val="-3"/>
        </w:rPr>
        <w:t> </w:t>
      </w:r>
      <w:r>
        <w:rPr/>
        <w:t>m,</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9315471/0710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7221300312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394"/>
        <w:jc w:val="both"/>
      </w:pPr>
      <w:r>
        <w:rPr/>
        <w:t>„Instalace</w:t>
      </w:r>
      <w:r>
        <w:rPr>
          <w:spacing w:val="-6"/>
        </w:rPr>
        <w:t> </w:t>
      </w:r>
      <w:r>
        <w:rPr/>
        <w:t>FVE</w:t>
      </w:r>
      <w:r>
        <w:rPr>
          <w:spacing w:val="-6"/>
        </w:rPr>
        <w:t> </w:t>
      </w:r>
      <w:r>
        <w:rPr/>
        <w:t>v</w:t>
      </w:r>
      <w:r>
        <w:rPr>
          <w:spacing w:val="-7"/>
        </w:rPr>
        <w:t> </w:t>
      </w:r>
      <w:r>
        <w:rPr/>
        <w:t>obci</w:t>
      </w:r>
      <w:r>
        <w:rPr>
          <w:spacing w:val="-4"/>
        </w:rPr>
        <w:t> </w:t>
      </w:r>
      <w:r>
        <w:rPr/>
        <w:t>Travčice</w:t>
      </w:r>
      <w:r>
        <w:rPr>
          <w:spacing w:val="-6"/>
        </w:rPr>
        <w:t> </w:t>
      </w:r>
      <w:r>
        <w:rPr/>
        <w:t>na</w:t>
      </w:r>
      <w:r>
        <w:rPr>
          <w:spacing w:val="-5"/>
        </w:rPr>
        <w:t> </w:t>
      </w:r>
      <w:r>
        <w:rPr/>
        <w:t>Fotbalové</w:t>
      </w:r>
      <w:r>
        <w:rPr>
          <w:spacing w:val="-7"/>
        </w:rPr>
        <w:t> </w:t>
      </w:r>
      <w:r>
        <w:rPr>
          <w:spacing w:val="-2"/>
        </w:rPr>
        <w:t>kabiny“</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618 201,24 Kč </w:t>
      </w:r>
      <w:r>
        <w:rPr>
          <w:sz w:val="20"/>
        </w:rPr>
        <w:t>(slovy: šest set osmnáct tisíc dvě stě jedna korun českých, dvacet čtyři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824 268,33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18"/>
          <w:sz w:val="20"/>
        </w:rPr>
        <w:t> </w:t>
      </w:r>
      <w:r>
        <w:rPr>
          <w:sz w:val="20"/>
        </w:rPr>
        <w:t>účel</w:t>
      </w:r>
      <w:r>
        <w:rPr>
          <w:spacing w:val="22"/>
          <w:sz w:val="20"/>
        </w:rPr>
        <w:t> </w:t>
      </w:r>
      <w:r>
        <w:rPr>
          <w:sz w:val="20"/>
        </w:rPr>
        <w:t>akce</w:t>
      </w:r>
      <w:r>
        <w:rPr>
          <w:spacing w:val="21"/>
          <w:sz w:val="20"/>
        </w:rPr>
        <w:t> </w:t>
      </w:r>
      <w:r>
        <w:rPr>
          <w:sz w:val="20"/>
        </w:rPr>
        <w:t>„Instalace</w:t>
      </w:r>
      <w:r>
        <w:rPr>
          <w:spacing w:val="19"/>
          <w:sz w:val="20"/>
        </w:rPr>
        <w:t> </w:t>
      </w:r>
      <w:r>
        <w:rPr>
          <w:sz w:val="20"/>
        </w:rPr>
        <w:t>FVE</w:t>
      </w:r>
      <w:r>
        <w:rPr>
          <w:spacing w:val="20"/>
          <w:sz w:val="20"/>
        </w:rPr>
        <w:t> </w:t>
      </w:r>
      <w:r>
        <w:rPr>
          <w:sz w:val="20"/>
        </w:rPr>
        <w:t>v</w:t>
      </w:r>
      <w:r>
        <w:rPr>
          <w:spacing w:val="20"/>
          <w:sz w:val="20"/>
        </w:rPr>
        <w:t> </w:t>
      </w:r>
      <w:r>
        <w:rPr>
          <w:sz w:val="20"/>
        </w:rPr>
        <w:t>obci</w:t>
      </w:r>
      <w:r>
        <w:rPr>
          <w:spacing w:val="19"/>
          <w:sz w:val="20"/>
        </w:rPr>
        <w:t> </w:t>
      </w:r>
      <w:r>
        <w:rPr>
          <w:sz w:val="20"/>
        </w:rPr>
        <w:t>Travčice</w:t>
      </w:r>
      <w:r>
        <w:rPr>
          <w:spacing w:val="19"/>
          <w:sz w:val="20"/>
        </w:rPr>
        <w:t> </w:t>
      </w:r>
      <w:r>
        <w:rPr>
          <w:sz w:val="20"/>
        </w:rPr>
        <w:t>na</w:t>
      </w:r>
      <w:r>
        <w:rPr>
          <w:spacing w:val="19"/>
          <w:sz w:val="20"/>
        </w:rPr>
        <w:t> </w:t>
      </w:r>
      <w:r>
        <w:rPr>
          <w:sz w:val="20"/>
        </w:rPr>
        <w:t>Fotbalové</w:t>
      </w:r>
      <w:r>
        <w:rPr>
          <w:spacing w:val="19"/>
          <w:sz w:val="20"/>
        </w:rPr>
        <w:t> </w:t>
      </w:r>
      <w:r>
        <w:rPr>
          <w:sz w:val="20"/>
        </w:rPr>
        <w:t>kabiny“</w:t>
      </w:r>
      <w:r>
        <w:rPr>
          <w:spacing w:val="19"/>
          <w:sz w:val="20"/>
        </w:rPr>
        <w:t> </w:t>
      </w:r>
      <w:r>
        <w:rPr>
          <w:sz w:val="20"/>
        </w:rPr>
        <w:t>tím,</w:t>
      </w:r>
      <w:r>
        <w:rPr>
          <w:spacing w:val="20"/>
          <w:sz w:val="20"/>
        </w:rPr>
        <w:t> </w:t>
      </w:r>
      <w:r>
        <w:rPr>
          <w:sz w:val="20"/>
        </w:rPr>
        <w:t>že</w:t>
      </w:r>
      <w:r>
        <w:rPr>
          <w:spacing w:val="20"/>
          <w:sz w:val="20"/>
        </w:rPr>
        <w:t> </w:t>
      </w:r>
      <w:r>
        <w:rPr>
          <w:sz w:val="20"/>
        </w:rPr>
        <w:t>akce</w:t>
      </w:r>
      <w:r>
        <w:rPr>
          <w:spacing w:val="21"/>
          <w:sz w:val="20"/>
        </w:rPr>
        <w:t> </w:t>
      </w:r>
      <w:r>
        <w:rPr>
          <w:sz w:val="20"/>
        </w:rPr>
        <w:t>bude</w:t>
      </w:r>
      <w:r>
        <w:rPr>
          <w:spacing w:val="19"/>
          <w:sz w:val="20"/>
        </w:rPr>
        <w:t> </w:t>
      </w:r>
      <w:r>
        <w:rPr>
          <w:spacing w:val="-2"/>
          <w:sz w:val="20"/>
        </w:rPr>
        <w:t>provedena</w:t>
      </w:r>
    </w:p>
    <w:p>
      <w:pPr>
        <w:pStyle w:val="BodyText"/>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06"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5"/>
      </w:pPr>
      <w:r>
        <w:rPr/>
        <w:t>s</w:t>
      </w:r>
      <w:r>
        <w:rPr>
          <w:spacing w:val="-7"/>
        </w:rPr>
        <w:t> </w:t>
      </w:r>
      <w:r>
        <w:rPr/>
        <w:t>předpokládaným</w:t>
      </w:r>
      <w:r>
        <w:rPr>
          <w:spacing w:val="-5"/>
        </w:rPr>
        <w:t> </w:t>
      </w:r>
      <w:r>
        <w:rPr/>
        <w:t>výkonem</w:t>
      </w:r>
      <w:r>
        <w:rPr>
          <w:spacing w:val="-4"/>
        </w:rPr>
        <w:t> </w:t>
      </w:r>
      <w:r>
        <w:rPr/>
        <w:t>18,0</w:t>
      </w:r>
      <w:r>
        <w:rPr>
          <w:spacing w:val="-6"/>
        </w:rPr>
        <w:t> </w:t>
      </w:r>
      <w:r>
        <w:rPr/>
        <w:t>kWp</w:t>
      </w:r>
      <w:r>
        <w:rPr>
          <w:spacing w:val="-5"/>
        </w:rPr>
        <w:t> </w:t>
      </w:r>
      <w:r>
        <w:rPr/>
        <w:t>a</w:t>
      </w:r>
      <w:r>
        <w:rPr>
          <w:spacing w:val="-6"/>
        </w:rPr>
        <w:t> </w:t>
      </w:r>
      <w:r>
        <w:rPr/>
        <w:t>instalací</w:t>
      </w:r>
      <w:r>
        <w:rPr>
          <w:spacing w:val="-7"/>
        </w:rPr>
        <w:t> </w:t>
      </w:r>
      <w:r>
        <w:rPr/>
        <w:t>akumulace</w:t>
      </w:r>
      <w:r>
        <w:rPr>
          <w:spacing w:val="-6"/>
        </w:rPr>
        <w:t> </w:t>
      </w:r>
      <w:r>
        <w:rPr/>
        <w:t>o</w:t>
      </w:r>
      <w:r>
        <w:rPr>
          <w:spacing w:val="-5"/>
        </w:rPr>
        <w:t> </w:t>
      </w:r>
      <w:r>
        <w:rPr/>
        <w:t>kapacitě</w:t>
      </w:r>
      <w:r>
        <w:rPr>
          <w:spacing w:val="-6"/>
        </w:rPr>
        <w:t> </w:t>
      </w:r>
      <w:r>
        <w:rPr/>
        <w:t>10,4</w:t>
      </w:r>
      <w:r>
        <w:rPr>
          <w:spacing w:val="-5"/>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10.40</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18.00</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4"/>
                <w:sz w:val="20"/>
              </w:rPr>
              <w:t>7.99</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24.17</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15.23</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22"/>
        </w:rPr>
        <w:t> </w:t>
      </w:r>
      <w:r>
        <w:rPr/>
        <w:t>Příjemce</w:t>
      </w:r>
      <w:r>
        <w:rPr>
          <w:spacing w:val="19"/>
        </w:rPr>
        <w:t> </w:t>
      </w:r>
      <w:r>
        <w:rPr/>
        <w:t>podpory</w:t>
      </w:r>
      <w:r>
        <w:rPr>
          <w:spacing w:val="19"/>
        </w:rPr>
        <w:t> </w:t>
      </w:r>
      <w:r>
        <w:rPr/>
        <w:t>je</w:t>
      </w:r>
      <w:r>
        <w:rPr>
          <w:spacing w:val="19"/>
        </w:rPr>
        <w:t> </w:t>
      </w:r>
      <w:r>
        <w:rPr/>
        <w:t>v</w:t>
      </w:r>
      <w:r>
        <w:rPr>
          <w:spacing w:val="-3"/>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3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6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2024-07-08T10:23:10Z</dcterms:created>
  <dcterms:modified xsi:type="dcterms:W3CDTF">2024-07-08T10:23:10Z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pro Microsoft 365</vt:lpwstr>
  </property>
  <property fmtid="{D5CDD505-2E9C-101B-9397-08002B2CF9AE}" pid="4" name="LastSaved">
    <vt:filetime>2024-07-08T00:00:00Z</vt:filetime>
  </property>
</Properties>
</file>