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9E1E90" w14:textId="77777777" w:rsidR="003B4F1B" w:rsidRDefault="003B4F1B">
      <w:pPr>
        <w:rPr>
          <w:sz w:val="2"/>
          <w:szCs w:val="24"/>
        </w:rPr>
      </w:pPr>
    </w:p>
    <w:p w14:paraId="29073CA0" w14:textId="77777777" w:rsidR="003B4F1B" w:rsidRDefault="000C612A">
      <w:pPr>
        <w:framePr w:w="940" w:h="1036" w:wrap="auto" w:hAnchor="margin" w:x="4674" w:y="-845"/>
        <w:rPr>
          <w:sz w:val="24"/>
          <w:szCs w:val="24"/>
        </w:rPr>
      </w:pPr>
      <w:r>
        <w:rPr>
          <w:sz w:val="24"/>
          <w:szCs w:val="24"/>
        </w:rPr>
        <w:pict w14:anchorId="1B46865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25pt;height:51.75pt" o:allowincell="f">
            <v:imagedata r:id="rId5" o:title=""/>
          </v:shape>
        </w:pict>
      </w:r>
    </w:p>
    <w:p w14:paraId="15AD9673" w14:textId="77777777" w:rsidR="003B4F1B" w:rsidRDefault="000C612A">
      <w:pPr>
        <w:framePr w:w="9196" w:h="1545" w:wrap="auto" w:hAnchor="margin" w:x="436" w:y="359"/>
        <w:spacing w:line="340" w:lineRule="exact"/>
        <w:ind w:left="4123"/>
        <w:rPr>
          <w:b/>
          <w:sz w:val="31"/>
          <w:szCs w:val="24"/>
        </w:rPr>
      </w:pPr>
      <w:r>
        <w:rPr>
          <w:b/>
          <w:sz w:val="31"/>
          <w:szCs w:val="24"/>
        </w:rPr>
        <w:t xml:space="preserve">Dodatek </w:t>
      </w:r>
    </w:p>
    <w:p w14:paraId="3F7188D4" w14:textId="77777777" w:rsidR="003B4F1B" w:rsidRDefault="000C612A">
      <w:pPr>
        <w:framePr w:w="9196" w:h="1545" w:wrap="auto" w:hAnchor="margin" w:x="436" w:y="359"/>
        <w:spacing w:before="52" w:line="235" w:lineRule="exact"/>
        <w:ind w:left="1127" w:right="878"/>
        <w:jc w:val="center"/>
        <w:rPr>
          <w:sz w:val="19"/>
          <w:szCs w:val="24"/>
        </w:rPr>
      </w:pPr>
      <w:r>
        <w:rPr>
          <w:b/>
          <w:sz w:val="23"/>
          <w:szCs w:val="24"/>
        </w:rPr>
        <w:t xml:space="preserve">ke smlouvě o programátorském servisu a podpoře </w:t>
      </w:r>
      <w:r>
        <w:rPr>
          <w:sz w:val="19"/>
          <w:szCs w:val="24"/>
        </w:rPr>
        <w:t xml:space="preserve">uzavřená podle zákona </w:t>
      </w:r>
      <w:r>
        <w:rPr>
          <w:rFonts w:ascii="Times New Roman" w:hAnsi="Times New Roman"/>
          <w:w w:val="200"/>
          <w:sz w:val="6"/>
          <w:szCs w:val="24"/>
        </w:rPr>
        <w:t xml:space="preserve">č. </w:t>
      </w:r>
      <w:r>
        <w:rPr>
          <w:sz w:val="19"/>
          <w:szCs w:val="24"/>
        </w:rPr>
        <w:t xml:space="preserve">121/2000 Sbírky o právu autorském v platném znění a podle zák. č. 89/2012 Sb., občanského zákoníku v platném znění </w:t>
      </w:r>
    </w:p>
    <w:p w14:paraId="019AF8B3" w14:textId="77777777" w:rsidR="003B4F1B" w:rsidRDefault="000C612A">
      <w:pPr>
        <w:framePr w:w="9196" w:h="1545" w:wrap="auto" w:hAnchor="margin" w:x="436" w:y="359"/>
        <w:spacing w:line="388" w:lineRule="exact"/>
        <w:ind w:left="3067"/>
        <w:rPr>
          <w:b/>
          <w:sz w:val="23"/>
          <w:szCs w:val="24"/>
        </w:rPr>
      </w:pPr>
      <w:r>
        <w:rPr>
          <w:b/>
          <w:sz w:val="23"/>
          <w:szCs w:val="24"/>
        </w:rPr>
        <w:t xml:space="preserve">Číslo smlouvy: SML-A-19004 </w:t>
      </w:r>
    </w:p>
    <w:p w14:paraId="314389AD" w14:textId="77777777" w:rsidR="003B4F1B" w:rsidRDefault="000C612A">
      <w:pPr>
        <w:framePr w:w="1430" w:h="254" w:wrap="auto" w:hAnchor="margin" w:x="517" w:y="2269"/>
        <w:spacing w:line="211" w:lineRule="exact"/>
        <w:ind w:left="33"/>
        <w:rPr>
          <w:b/>
          <w:sz w:val="18"/>
          <w:szCs w:val="24"/>
        </w:rPr>
      </w:pPr>
      <w:r>
        <w:rPr>
          <w:b/>
          <w:sz w:val="18"/>
          <w:szCs w:val="24"/>
        </w:rPr>
        <w:t xml:space="preserve">Smluvní strany </w:t>
      </w:r>
    </w:p>
    <w:p w14:paraId="0705707E" w14:textId="77777777" w:rsidR="003B4F1B" w:rsidRDefault="000C612A">
      <w:pPr>
        <w:framePr w:w="119" w:h="220" w:wrap="auto" w:hAnchor="margin" w:x="474" w:y="4564"/>
        <w:spacing w:line="220" w:lineRule="exact"/>
        <w:ind w:left="4"/>
        <w:rPr>
          <w:w w:val="108"/>
          <w:szCs w:val="24"/>
        </w:rPr>
      </w:pPr>
      <w:r>
        <w:rPr>
          <w:w w:val="108"/>
          <w:szCs w:val="24"/>
        </w:rPr>
        <w:t xml:space="preserve">a </w:t>
      </w:r>
    </w:p>
    <w:p w14:paraId="76B94B0E" w14:textId="77777777" w:rsidR="003B4F1B" w:rsidRDefault="000C612A">
      <w:pPr>
        <w:framePr w:w="6585" w:h="3935" w:wrap="auto" w:hAnchor="margin" w:x="2576" w:y="2500"/>
        <w:spacing w:line="211" w:lineRule="exact"/>
        <w:ind w:left="33"/>
        <w:rPr>
          <w:b/>
          <w:sz w:val="18"/>
          <w:szCs w:val="24"/>
        </w:rPr>
      </w:pPr>
      <w:r>
        <w:rPr>
          <w:b/>
          <w:sz w:val="18"/>
          <w:szCs w:val="24"/>
        </w:rPr>
        <w:t xml:space="preserve">ALGO </w:t>
      </w:r>
      <w:proofErr w:type="spellStart"/>
      <w:r>
        <w:rPr>
          <w:b/>
          <w:sz w:val="18"/>
          <w:szCs w:val="24"/>
        </w:rPr>
        <w:t>spol.s</w:t>
      </w:r>
      <w:proofErr w:type="spellEnd"/>
      <w:r>
        <w:rPr>
          <w:b/>
          <w:sz w:val="18"/>
          <w:szCs w:val="24"/>
        </w:rPr>
        <w:t xml:space="preserve"> </w:t>
      </w:r>
      <w:proofErr w:type="spellStart"/>
      <w:r>
        <w:rPr>
          <w:b/>
          <w:sz w:val="18"/>
          <w:szCs w:val="24"/>
        </w:rPr>
        <w:t>r.o</w:t>
      </w:r>
      <w:proofErr w:type="spellEnd"/>
      <w:r>
        <w:rPr>
          <w:b/>
          <w:sz w:val="18"/>
          <w:szCs w:val="24"/>
        </w:rPr>
        <w:t xml:space="preserve">, </w:t>
      </w:r>
    </w:p>
    <w:p w14:paraId="3D813FE6" w14:textId="77777777" w:rsidR="003B4F1B" w:rsidRDefault="000C612A">
      <w:pPr>
        <w:framePr w:w="6585" w:h="3935" w:wrap="auto" w:hAnchor="margin" w:x="2576" w:y="2500"/>
        <w:spacing w:before="9" w:line="225" w:lineRule="exact"/>
        <w:ind w:left="57" w:right="1627"/>
        <w:rPr>
          <w:sz w:val="19"/>
          <w:szCs w:val="24"/>
        </w:rPr>
      </w:pPr>
      <w:r>
        <w:rPr>
          <w:sz w:val="19"/>
          <w:szCs w:val="24"/>
        </w:rPr>
        <w:t xml:space="preserve">se sídlem: Tylovo nábřeží 367,500 02 Hradec Králové, zastoupená: Ing. Jaromír Sladký, jednatel společnosti bankovní spojení: 336145/0300, CSOB Hradec Králové ICO: 45538573, DIC: CZ45538573, </w:t>
      </w:r>
    </w:p>
    <w:p w14:paraId="227D3AB1" w14:textId="77777777" w:rsidR="003B4F1B" w:rsidRDefault="000C612A">
      <w:pPr>
        <w:framePr w:w="6585" w:h="3935" w:wrap="auto" w:hAnchor="margin" w:x="2576" w:y="2500"/>
        <w:spacing w:line="235" w:lineRule="exact"/>
        <w:ind w:left="9"/>
        <w:rPr>
          <w:sz w:val="19"/>
          <w:szCs w:val="24"/>
        </w:rPr>
      </w:pPr>
      <w:r>
        <w:rPr>
          <w:sz w:val="19"/>
          <w:szCs w:val="24"/>
        </w:rPr>
        <w:t>zapsaná v obchod. rejstř</w:t>
      </w:r>
      <w:r>
        <w:rPr>
          <w:sz w:val="19"/>
          <w:szCs w:val="24"/>
        </w:rPr>
        <w:t xml:space="preserve">íku vedeném Krajským soudem v Hradci Králové, oddíl C, vložka 1801 </w:t>
      </w:r>
    </w:p>
    <w:p w14:paraId="39414D80" w14:textId="77777777" w:rsidR="003B4F1B" w:rsidRDefault="000C612A">
      <w:pPr>
        <w:framePr w:w="6585" w:h="3935" w:wrap="auto" w:hAnchor="margin" w:x="2576" w:y="2500"/>
        <w:spacing w:line="455" w:lineRule="exact"/>
        <w:ind w:left="19"/>
        <w:rPr>
          <w:sz w:val="19"/>
          <w:szCs w:val="24"/>
        </w:rPr>
      </w:pPr>
      <w:r>
        <w:rPr>
          <w:sz w:val="19"/>
          <w:szCs w:val="24"/>
        </w:rPr>
        <w:t xml:space="preserve">dále jen </w:t>
      </w:r>
      <w:r>
        <w:rPr>
          <w:b/>
          <w:sz w:val="18"/>
          <w:szCs w:val="24"/>
        </w:rPr>
        <w:t xml:space="preserve">„Poskytovatel" </w:t>
      </w:r>
      <w:r>
        <w:rPr>
          <w:sz w:val="19"/>
          <w:szCs w:val="24"/>
        </w:rPr>
        <w:t xml:space="preserve">na straně jedné </w:t>
      </w:r>
    </w:p>
    <w:p w14:paraId="1946FFFE" w14:textId="77777777" w:rsidR="003B4F1B" w:rsidRDefault="000C612A">
      <w:pPr>
        <w:framePr w:w="6585" w:h="3935" w:wrap="auto" w:hAnchor="margin" w:x="2576" w:y="2500"/>
        <w:spacing w:before="220" w:line="235" w:lineRule="exact"/>
        <w:ind w:left="19" w:right="259"/>
        <w:rPr>
          <w:sz w:val="19"/>
          <w:szCs w:val="24"/>
        </w:rPr>
      </w:pPr>
      <w:r>
        <w:rPr>
          <w:b/>
          <w:sz w:val="18"/>
          <w:szCs w:val="24"/>
        </w:rPr>
        <w:t xml:space="preserve">Městské středisko sociálních služeb OÁZA Nové Město nad Metují </w:t>
      </w:r>
      <w:r>
        <w:rPr>
          <w:sz w:val="19"/>
          <w:szCs w:val="24"/>
        </w:rPr>
        <w:t xml:space="preserve">se sídlem: T. G. Masaryka 1424 </w:t>
      </w:r>
    </w:p>
    <w:p w14:paraId="53D77A9B" w14:textId="77777777" w:rsidR="003B4F1B" w:rsidRDefault="000C612A">
      <w:pPr>
        <w:framePr w:w="6585" w:h="3935" w:wrap="auto" w:hAnchor="margin" w:x="2576" w:y="2500"/>
        <w:spacing w:line="230" w:lineRule="exact"/>
        <w:ind w:left="14" w:right="2721"/>
        <w:rPr>
          <w:sz w:val="19"/>
          <w:szCs w:val="24"/>
        </w:rPr>
      </w:pPr>
      <w:r>
        <w:rPr>
          <w:sz w:val="19"/>
          <w:szCs w:val="24"/>
        </w:rPr>
        <w:t>549 01 Nové Mě</w:t>
      </w:r>
      <w:r>
        <w:rPr>
          <w:sz w:val="19"/>
          <w:szCs w:val="24"/>
        </w:rPr>
        <w:t xml:space="preserve">sto nad Metují, Náchod Zastoupená: Mgr. Jana Balcarová, ředitelka IC: 62730631 </w:t>
      </w:r>
    </w:p>
    <w:p w14:paraId="0C876327" w14:textId="77777777" w:rsidR="003B4F1B" w:rsidRDefault="000C612A">
      <w:pPr>
        <w:framePr w:w="6585" w:h="3935" w:wrap="auto" w:hAnchor="margin" w:x="2576" w:y="2500"/>
        <w:spacing w:line="455" w:lineRule="exact"/>
        <w:ind w:left="19"/>
        <w:rPr>
          <w:sz w:val="19"/>
          <w:szCs w:val="24"/>
        </w:rPr>
      </w:pPr>
      <w:r>
        <w:rPr>
          <w:sz w:val="19"/>
          <w:szCs w:val="24"/>
        </w:rPr>
        <w:t xml:space="preserve">dále jen </w:t>
      </w:r>
      <w:r>
        <w:rPr>
          <w:b/>
          <w:sz w:val="18"/>
          <w:szCs w:val="24"/>
        </w:rPr>
        <w:t xml:space="preserve">„Nabyvatel" </w:t>
      </w:r>
      <w:r>
        <w:rPr>
          <w:sz w:val="19"/>
          <w:szCs w:val="24"/>
        </w:rPr>
        <w:t xml:space="preserve">na straně druhé </w:t>
      </w:r>
    </w:p>
    <w:p w14:paraId="40F396A6" w14:textId="77777777" w:rsidR="003B4F1B" w:rsidRDefault="000C612A">
      <w:pPr>
        <w:framePr w:w="9259" w:h="2073" w:wrap="auto" w:hAnchor="margin" w:x="416" w:y="6632"/>
        <w:spacing w:line="220" w:lineRule="exact"/>
        <w:ind w:right="4291"/>
        <w:jc w:val="center"/>
        <w:rPr>
          <w:sz w:val="19"/>
          <w:szCs w:val="24"/>
        </w:rPr>
      </w:pPr>
      <w:r>
        <w:rPr>
          <w:sz w:val="19"/>
          <w:szCs w:val="24"/>
        </w:rPr>
        <w:t xml:space="preserve">se dohodly na těchto změnách v článku 1 a 6 smlouvy: </w:t>
      </w:r>
    </w:p>
    <w:p w14:paraId="5BE74315" w14:textId="77777777" w:rsidR="003B4F1B" w:rsidRDefault="000C612A">
      <w:pPr>
        <w:framePr w:w="9259" w:h="2073" w:wrap="auto" w:hAnchor="margin" w:x="416" w:y="6632"/>
        <w:spacing w:line="297" w:lineRule="exact"/>
        <w:ind w:left="3076" w:right="3057" w:firstLine="926"/>
        <w:jc w:val="center"/>
        <w:rPr>
          <w:b/>
          <w:sz w:val="18"/>
          <w:szCs w:val="24"/>
        </w:rPr>
      </w:pPr>
      <w:r>
        <w:rPr>
          <w:b/>
          <w:sz w:val="18"/>
          <w:szCs w:val="24"/>
        </w:rPr>
        <w:t xml:space="preserve">ČLÁNEK 1 PŘEDMĚT A ÚČEL SMLOUVY </w:t>
      </w:r>
    </w:p>
    <w:p w14:paraId="5205623B" w14:textId="77777777" w:rsidR="003B4F1B" w:rsidRDefault="000C612A">
      <w:pPr>
        <w:framePr w:w="9259" w:h="2073" w:wrap="auto" w:hAnchor="margin" w:x="416" w:y="6632"/>
        <w:tabs>
          <w:tab w:val="left" w:pos="724"/>
        </w:tabs>
        <w:spacing w:before="57" w:line="239" w:lineRule="exact"/>
        <w:ind w:left="729" w:right="4" w:hanging="729"/>
        <w:jc w:val="both"/>
        <w:rPr>
          <w:sz w:val="19"/>
          <w:szCs w:val="24"/>
        </w:rPr>
      </w:pPr>
      <w:r>
        <w:rPr>
          <w:sz w:val="19"/>
          <w:szCs w:val="24"/>
        </w:rPr>
        <w:t xml:space="preserve">1.1 </w:t>
      </w:r>
      <w:r>
        <w:rPr>
          <w:sz w:val="19"/>
          <w:szCs w:val="24"/>
        </w:rPr>
        <w:tab/>
        <w:t xml:space="preserve">Předmětem této smlouvy je poskytování služeb k programovému vybavení </w:t>
      </w:r>
      <w:r>
        <w:rPr>
          <w:b/>
          <w:sz w:val="18"/>
          <w:szCs w:val="24"/>
        </w:rPr>
        <w:t xml:space="preserve">AVENSIO SOFTWARE </w:t>
      </w:r>
      <w:r>
        <w:rPr>
          <w:sz w:val="19"/>
          <w:szCs w:val="24"/>
        </w:rPr>
        <w:t xml:space="preserve">v rozsahu 120 aktivních mzdových lístků při současném připojení 1 klienta k databázi. </w:t>
      </w:r>
    </w:p>
    <w:p w14:paraId="339656F6" w14:textId="77777777" w:rsidR="003B4F1B" w:rsidRDefault="000C612A">
      <w:pPr>
        <w:framePr w:w="9259" w:h="2073" w:wrap="auto" w:hAnchor="margin" w:x="416" w:y="6632"/>
        <w:tabs>
          <w:tab w:val="left" w:pos="705"/>
        </w:tabs>
        <w:spacing w:line="244" w:lineRule="exact"/>
        <w:ind w:left="719" w:right="9" w:hanging="719"/>
        <w:rPr>
          <w:sz w:val="19"/>
          <w:szCs w:val="24"/>
        </w:rPr>
      </w:pPr>
      <w:r>
        <w:rPr>
          <w:sz w:val="19"/>
          <w:szCs w:val="24"/>
        </w:rPr>
        <w:t xml:space="preserve">1.2 </w:t>
      </w:r>
      <w:r>
        <w:rPr>
          <w:sz w:val="19"/>
          <w:szCs w:val="24"/>
        </w:rPr>
        <w:tab/>
        <w:t xml:space="preserve">modul </w:t>
      </w:r>
      <w:proofErr w:type="spellStart"/>
      <w:r>
        <w:rPr>
          <w:sz w:val="19"/>
          <w:szCs w:val="24"/>
        </w:rPr>
        <w:t>Avensio</w:t>
      </w:r>
      <w:proofErr w:type="spellEnd"/>
      <w:r>
        <w:rPr>
          <w:sz w:val="19"/>
          <w:szCs w:val="24"/>
        </w:rPr>
        <w:t xml:space="preserve"> MDML pro 120 aktivních mzdových lístků při současném př</w:t>
      </w:r>
      <w:r>
        <w:rPr>
          <w:sz w:val="19"/>
          <w:szCs w:val="24"/>
        </w:rPr>
        <w:t xml:space="preserve">ipojení 1 klienta k databázi. </w:t>
      </w:r>
    </w:p>
    <w:p w14:paraId="2992F9EE" w14:textId="77777777" w:rsidR="003B4F1B" w:rsidRDefault="000C612A">
      <w:pPr>
        <w:framePr w:w="9249" w:h="1660" w:wrap="auto" w:hAnchor="margin" w:x="388" w:y="9205"/>
        <w:spacing w:line="239" w:lineRule="exact"/>
        <w:ind w:left="3700" w:right="3691" w:firstLine="321"/>
        <w:jc w:val="center"/>
        <w:rPr>
          <w:b/>
          <w:sz w:val="18"/>
          <w:szCs w:val="24"/>
        </w:rPr>
      </w:pPr>
      <w:r>
        <w:rPr>
          <w:b/>
          <w:sz w:val="18"/>
          <w:szCs w:val="24"/>
        </w:rPr>
        <w:t xml:space="preserve">ČLÁNEK6 CENA (ODMĚNA) </w:t>
      </w:r>
    </w:p>
    <w:p w14:paraId="068ADBC8" w14:textId="77777777" w:rsidR="003B4F1B" w:rsidRDefault="000C612A">
      <w:pPr>
        <w:framePr w:w="9249" w:h="1660" w:wrap="auto" w:hAnchor="margin" w:x="388" w:y="9205"/>
        <w:tabs>
          <w:tab w:val="left" w:pos="709"/>
        </w:tabs>
        <w:spacing w:line="244" w:lineRule="exact"/>
        <w:ind w:left="719" w:right="4" w:hanging="719"/>
        <w:rPr>
          <w:sz w:val="19"/>
          <w:szCs w:val="24"/>
        </w:rPr>
      </w:pPr>
      <w:r>
        <w:rPr>
          <w:sz w:val="19"/>
          <w:szCs w:val="24"/>
        </w:rPr>
        <w:t xml:space="preserve">6.1 </w:t>
      </w:r>
      <w:r>
        <w:rPr>
          <w:sz w:val="19"/>
          <w:szCs w:val="24"/>
        </w:rPr>
        <w:tab/>
        <w:t xml:space="preserve">Odměna za </w:t>
      </w:r>
      <w:r>
        <w:rPr>
          <w:i/>
          <w:sz w:val="19"/>
          <w:szCs w:val="24"/>
        </w:rPr>
        <w:t xml:space="preserve">programátorský servis </w:t>
      </w:r>
      <w:r>
        <w:rPr>
          <w:sz w:val="19"/>
          <w:szCs w:val="24"/>
        </w:rPr>
        <w:t xml:space="preserve">je stanovena dohodou a činí </w:t>
      </w:r>
      <w:r>
        <w:rPr>
          <w:b/>
          <w:sz w:val="18"/>
          <w:szCs w:val="24"/>
        </w:rPr>
        <w:t xml:space="preserve">10 722,-Kč plus 2 810,-Kč (za základní služby plus za služby k MDML) </w:t>
      </w:r>
      <w:r>
        <w:rPr>
          <w:sz w:val="19"/>
          <w:szCs w:val="24"/>
        </w:rPr>
        <w:t xml:space="preserve">bez DPH ročně. </w:t>
      </w:r>
    </w:p>
    <w:p w14:paraId="181E439A" w14:textId="77777777" w:rsidR="003B4F1B" w:rsidRDefault="000C612A">
      <w:pPr>
        <w:framePr w:w="9249" w:h="1660" w:wrap="auto" w:hAnchor="margin" w:x="388" w:y="9205"/>
        <w:tabs>
          <w:tab w:val="left" w:pos="704"/>
        </w:tabs>
        <w:spacing w:line="239" w:lineRule="exact"/>
        <w:ind w:left="715" w:right="14" w:hanging="715"/>
        <w:jc w:val="both"/>
        <w:rPr>
          <w:sz w:val="19"/>
          <w:szCs w:val="24"/>
        </w:rPr>
      </w:pPr>
      <w:r>
        <w:rPr>
          <w:sz w:val="19"/>
          <w:szCs w:val="24"/>
        </w:rPr>
        <w:t xml:space="preserve">6.2 </w:t>
      </w:r>
      <w:r>
        <w:rPr>
          <w:sz w:val="19"/>
          <w:szCs w:val="24"/>
        </w:rPr>
        <w:tab/>
        <w:t xml:space="preserve">Odměna </w:t>
      </w:r>
      <w:r>
        <w:rPr>
          <w:i/>
          <w:sz w:val="19"/>
          <w:szCs w:val="24"/>
        </w:rPr>
        <w:t xml:space="preserve">programátorského servisu </w:t>
      </w:r>
      <w:r>
        <w:rPr>
          <w:sz w:val="19"/>
          <w:szCs w:val="24"/>
        </w:rPr>
        <w:t xml:space="preserve">bude nabyvateli fakturována </w:t>
      </w:r>
      <w:proofErr w:type="spellStart"/>
      <w:r>
        <w:rPr>
          <w:b/>
          <w:sz w:val="18"/>
          <w:szCs w:val="24"/>
        </w:rPr>
        <w:t>čtvrletně</w:t>
      </w:r>
      <w:proofErr w:type="spellEnd"/>
      <w:r>
        <w:rPr>
          <w:b/>
          <w:sz w:val="18"/>
          <w:szCs w:val="24"/>
        </w:rPr>
        <w:t xml:space="preserve"> (2 680,SOKč plus 702,SOKč) </w:t>
      </w:r>
      <w:r>
        <w:rPr>
          <w:sz w:val="19"/>
          <w:szCs w:val="24"/>
        </w:rPr>
        <w:t xml:space="preserve">bez DPH a to vždy v průběhu prvního měsíce kalendářního čtvrtletí na příslušné kalendářní čtvrtletí. </w:t>
      </w:r>
    </w:p>
    <w:p w14:paraId="5C142A68" w14:textId="77777777" w:rsidR="003B4F1B" w:rsidRDefault="000C612A">
      <w:pPr>
        <w:framePr w:w="9273" w:h="743" w:wrap="auto" w:hAnchor="margin" w:x="359" w:y="11360"/>
        <w:spacing w:line="215" w:lineRule="exact"/>
        <w:ind w:left="3374"/>
        <w:rPr>
          <w:b/>
          <w:sz w:val="18"/>
          <w:szCs w:val="24"/>
        </w:rPr>
      </w:pPr>
      <w:r>
        <w:rPr>
          <w:b/>
          <w:sz w:val="18"/>
          <w:szCs w:val="24"/>
        </w:rPr>
        <w:t xml:space="preserve">ZÁVĚREČNÁ USTANOVENÍ </w:t>
      </w:r>
    </w:p>
    <w:p w14:paraId="0CABD238" w14:textId="77777777" w:rsidR="003B4F1B" w:rsidRDefault="000C612A">
      <w:pPr>
        <w:framePr w:w="9273" w:h="743" w:wrap="auto" w:hAnchor="margin" w:x="359" w:y="11360"/>
        <w:numPr>
          <w:ilvl w:val="0"/>
          <w:numId w:val="1"/>
        </w:numPr>
        <w:spacing w:line="244" w:lineRule="exact"/>
        <w:ind w:left="734" w:hanging="719"/>
        <w:rPr>
          <w:b/>
          <w:sz w:val="18"/>
          <w:szCs w:val="24"/>
        </w:rPr>
      </w:pPr>
      <w:r>
        <w:rPr>
          <w:sz w:val="19"/>
          <w:szCs w:val="24"/>
        </w:rPr>
        <w:t xml:space="preserve">Dodatek nabývá účinnosti datem </w:t>
      </w:r>
      <w:r>
        <w:rPr>
          <w:b/>
          <w:sz w:val="18"/>
          <w:szCs w:val="24"/>
        </w:rPr>
        <w:t xml:space="preserve">01.07.2024. </w:t>
      </w:r>
    </w:p>
    <w:p w14:paraId="36AC5A2D" w14:textId="77777777" w:rsidR="003B4F1B" w:rsidRDefault="000C612A">
      <w:pPr>
        <w:framePr w:w="9273" w:h="743" w:wrap="auto" w:hAnchor="margin" w:x="359" w:y="11360"/>
        <w:numPr>
          <w:ilvl w:val="0"/>
          <w:numId w:val="1"/>
        </w:numPr>
        <w:spacing w:line="244" w:lineRule="exact"/>
        <w:ind w:left="734" w:hanging="719"/>
        <w:rPr>
          <w:sz w:val="19"/>
          <w:szCs w:val="24"/>
        </w:rPr>
      </w:pPr>
      <w:r>
        <w:rPr>
          <w:sz w:val="19"/>
          <w:szCs w:val="24"/>
        </w:rPr>
        <w:t xml:space="preserve">Dodatek je vyhotoven ve 3 vyhotoveních, každé s platností originálu </w:t>
      </w:r>
    </w:p>
    <w:p w14:paraId="0D0C5428" w14:textId="77777777" w:rsidR="003B4F1B" w:rsidRDefault="000C612A">
      <w:pPr>
        <w:framePr w:w="4487" w:h="1732" w:wrap="auto" w:hAnchor="margin" w:x="1050" w:y="12316"/>
        <w:spacing w:line="235" w:lineRule="exact"/>
        <w:ind w:left="9"/>
        <w:rPr>
          <w:sz w:val="19"/>
          <w:szCs w:val="24"/>
        </w:rPr>
      </w:pPr>
      <w:r>
        <w:rPr>
          <w:sz w:val="19"/>
          <w:szCs w:val="24"/>
        </w:rPr>
        <w:t xml:space="preserve">Datum, razítko a podpis· </w:t>
      </w:r>
    </w:p>
    <w:p w14:paraId="08C613F7" w14:textId="56785629" w:rsidR="003B4F1B" w:rsidRDefault="000C612A" w:rsidP="000C612A">
      <w:pPr>
        <w:framePr w:w="4487" w:h="1732" w:wrap="auto" w:hAnchor="margin" w:x="1050" w:y="12316"/>
        <w:tabs>
          <w:tab w:val="left" w:pos="1905"/>
          <w:tab w:val="left" w:pos="2183"/>
          <w:tab w:val="left" w:pos="3633"/>
          <w:tab w:val="left" w:pos="3853"/>
        </w:tabs>
        <w:spacing w:line="215" w:lineRule="exact"/>
        <w:rPr>
          <w:rFonts w:ascii="Times New Roman" w:hAnsi="Times New Roman"/>
          <w:w w:val="116"/>
          <w:sz w:val="12"/>
          <w:szCs w:val="24"/>
        </w:rPr>
      </w:pPr>
      <w:r>
        <w:rPr>
          <w:sz w:val="19"/>
          <w:szCs w:val="24"/>
        </w:rPr>
        <w:t xml:space="preserve">Dne02.07.2024 </w:t>
      </w:r>
      <w:r>
        <w:rPr>
          <w:sz w:val="19"/>
          <w:szCs w:val="24"/>
        </w:rPr>
        <w:tab/>
      </w:r>
      <w:r>
        <w:rPr>
          <w:rFonts w:ascii="Times New Roman" w:hAnsi="Times New Roman"/>
          <w:sz w:val="16"/>
          <w:szCs w:val="24"/>
        </w:rPr>
        <w:t xml:space="preserve"> </w:t>
      </w:r>
      <w:r>
        <w:rPr>
          <w:rFonts w:ascii="Times New Roman" w:hAnsi="Times New Roman"/>
          <w:sz w:val="16"/>
          <w:szCs w:val="24"/>
        </w:rPr>
        <w:tab/>
      </w:r>
      <w:r>
        <w:rPr>
          <w:rFonts w:ascii="Times New Roman" w:hAnsi="Times New Roman"/>
          <w:w w:val="116"/>
          <w:sz w:val="12"/>
          <w:szCs w:val="24"/>
        </w:rPr>
        <w:t xml:space="preserve"> </w:t>
      </w:r>
    </w:p>
    <w:p w14:paraId="31F8A600" w14:textId="5089EDE5" w:rsidR="003B4F1B" w:rsidRDefault="000C612A">
      <w:pPr>
        <w:framePr w:w="4487" w:h="1732" w:wrap="auto" w:hAnchor="margin" w:x="1050" w:y="12316"/>
        <w:tabs>
          <w:tab w:val="right" w:pos="2889"/>
        </w:tabs>
        <w:spacing w:line="446" w:lineRule="exact"/>
        <w:rPr>
          <w:i/>
          <w:w w:val="72"/>
          <w:sz w:val="56"/>
          <w:szCs w:val="24"/>
        </w:rPr>
      </w:pPr>
      <w:r>
        <w:rPr>
          <w:sz w:val="19"/>
          <w:szCs w:val="24"/>
        </w:rPr>
        <w:t>I</w:t>
      </w:r>
      <w:r>
        <w:rPr>
          <w:sz w:val="19"/>
          <w:szCs w:val="24"/>
        </w:rPr>
        <w:t xml:space="preserve">ng. Jaromír Sladký </w:t>
      </w:r>
      <w:r>
        <w:rPr>
          <w:w w:val="200"/>
          <w:sz w:val="10"/>
          <w:szCs w:val="24"/>
        </w:rPr>
        <w:t xml:space="preserve"> </w:t>
      </w:r>
    </w:p>
    <w:p w14:paraId="2B051B7A" w14:textId="6D6E8C78" w:rsidR="003B4F1B" w:rsidRDefault="000C612A">
      <w:pPr>
        <w:framePr w:w="4487" w:h="1732" w:wrap="auto" w:hAnchor="margin" w:x="1050" w:y="12316"/>
        <w:tabs>
          <w:tab w:val="right" w:pos="2841"/>
        </w:tabs>
        <w:spacing w:line="235" w:lineRule="exact"/>
        <w:rPr>
          <w:i/>
          <w:sz w:val="18"/>
          <w:szCs w:val="24"/>
        </w:rPr>
      </w:pPr>
      <w:r>
        <w:rPr>
          <w:rFonts w:ascii="Times New Roman" w:hAnsi="Times New Roman"/>
          <w:b/>
          <w:w w:val="91"/>
          <w:sz w:val="23"/>
          <w:szCs w:val="24"/>
        </w:rPr>
        <w:t xml:space="preserve">za </w:t>
      </w:r>
      <w:r>
        <w:rPr>
          <w:b/>
          <w:sz w:val="18"/>
          <w:szCs w:val="24"/>
        </w:rPr>
        <w:t xml:space="preserve">POSKYTOVATELE </w:t>
      </w:r>
      <w:r>
        <w:rPr>
          <w:b/>
          <w:sz w:val="18"/>
          <w:szCs w:val="24"/>
        </w:rPr>
        <w:tab/>
      </w:r>
    </w:p>
    <w:p w14:paraId="7DFBEA1D" w14:textId="0FD27A3C" w:rsidR="003B4F1B" w:rsidRDefault="003B4F1B">
      <w:pPr>
        <w:framePr w:w="1132" w:h="211" w:wrap="auto" w:hAnchor="margin" w:x="4040" w:y="12479"/>
        <w:rPr>
          <w:sz w:val="18"/>
          <w:szCs w:val="24"/>
        </w:rPr>
      </w:pPr>
    </w:p>
    <w:p w14:paraId="44514FB9" w14:textId="77777777" w:rsidR="003B4F1B" w:rsidRDefault="000C612A">
      <w:pPr>
        <w:framePr w:w="2116" w:h="460" w:wrap="auto" w:hAnchor="margin" w:x="6018" w:y="12296"/>
        <w:spacing w:line="235" w:lineRule="exact"/>
        <w:ind w:left="9"/>
        <w:rPr>
          <w:sz w:val="19"/>
          <w:szCs w:val="24"/>
        </w:rPr>
      </w:pPr>
      <w:r>
        <w:rPr>
          <w:sz w:val="19"/>
          <w:szCs w:val="24"/>
        </w:rPr>
        <w:t xml:space="preserve">Datum, razítko a podpis Dne </w:t>
      </w:r>
    </w:p>
    <w:p w14:paraId="7E6C4957" w14:textId="77777777" w:rsidR="003B4F1B" w:rsidRDefault="000C612A">
      <w:pPr>
        <w:framePr w:w="2126" w:h="220" w:wrap="auto" w:hAnchor="margin" w:x="6004" w:y="13679"/>
        <w:spacing w:line="235" w:lineRule="exact"/>
        <w:ind w:left="9"/>
        <w:rPr>
          <w:sz w:val="19"/>
          <w:szCs w:val="24"/>
        </w:rPr>
      </w:pPr>
      <w:r>
        <w:rPr>
          <w:sz w:val="19"/>
          <w:szCs w:val="24"/>
        </w:rPr>
        <w:t xml:space="preserve">za NABYVATELE </w:t>
      </w:r>
    </w:p>
    <w:sectPr w:rsidR="003B4F1B">
      <w:pgSz w:w="11900" w:h="16840"/>
      <w:pgMar w:top="1382" w:right="1176" w:bottom="360" w:left="104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/>
      </w:rPr>
    </w:lvl>
  </w:abstractNum>
  <w:num w:numId="1" w16cid:durableId="9563028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720"/>
  <w:hyphenationZone w:val="425"/>
  <w:doNotShadeFormData/>
  <w:characterSpacingControl w:val="compressPunctuation"/>
  <w:compat>
    <w:spaceForUL/>
    <w:balanceSingleByteDoubleByteWidth/>
    <w:doNotLeaveBackslashAlone/>
    <w:ulTrailSpace/>
    <w:doNotExpandShiftReturn/>
    <w:applyBreakingRules/>
    <w:useFELayout/>
    <w:doNotUseIndentAsNumberingTabStop/>
    <w:splitPgBreakAndParaMark/>
    <w:useAnsiKerningPairs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3B4F1B"/>
    <w:rsid w:val="000C612A"/>
    <w:rsid w:val="003B4F1B"/>
    <w:rsid w:val="00AB2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0B637E26"/>
  <w15:docId w15:val="{7D2BE830-37B6-48CA-9B7B-7593EA8C2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uiPriority w:val="99"/>
    <w:pPr>
      <w:widowControl w:val="0"/>
      <w:autoSpaceDE w:val="0"/>
      <w:autoSpaceDN w:val="0"/>
      <w:adjustRightInd w:val="0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1564</Characters>
  <Application>Microsoft Office Word</Application>
  <DocSecurity>0</DocSecurity>
  <Lines>13</Lines>
  <Paragraphs>3</Paragraphs>
  <ScaleCrop>false</ScaleCrop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Readiris</dc:title>
  <dc:creator>Uživatel systému Windows</dc:creator>
  <cp:keywords>CreatedByIRIS_Readiris_15.2.2</cp:keywords>
  <cp:lastModifiedBy>Pultarová</cp:lastModifiedBy>
  <cp:revision>1</cp:revision>
  <dcterms:created xsi:type="dcterms:W3CDTF">2024-07-04T14:16:00Z</dcterms:created>
  <dcterms:modified xsi:type="dcterms:W3CDTF">2024-07-04T12:17:00Z</dcterms:modified>
</cp:coreProperties>
</file>