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B34D53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537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B34D53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34D5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34D5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34D5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34D5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4. 7. 2024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B34D5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B34D5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B34D5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B34D53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B34D53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B34D53">
        <w:rPr>
          <w:rFonts w:ascii="Tahoma" w:hAnsi="Tahoma" w:cs="Tahoma"/>
          <w:noProof/>
          <w:sz w:val="28"/>
          <w:szCs w:val="28"/>
        </w:rPr>
        <w:t>181/24/7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B34D5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komunikace na pozemku p. č. 606/4 v k. ú. Střela</w:t>
            </w:r>
          </w:p>
        </w:tc>
        <w:tc>
          <w:tcPr>
            <w:tcW w:w="1440" w:type="dxa"/>
          </w:tcPr>
          <w:p w:rsidR="001F0477" w:rsidRPr="006F0BA2" w:rsidRDefault="00B34D5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B34D5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177 402,84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B34D53">
        <w:rPr>
          <w:rFonts w:ascii="Tahoma" w:hAnsi="Tahoma" w:cs="Tahoma"/>
          <w:b/>
          <w:bCs/>
          <w:noProof/>
          <w:sz w:val="20"/>
          <w:szCs w:val="20"/>
        </w:rPr>
        <w:t>177 402,84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B34D5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lokální opravu východní části návsi a přilehlé komunikace, které jsou na pozemku města Strakonice p. č. 606/4 v k. ú. Střela, dle cenové nabídky ze 04.07.2024. Cena bez DPH činí  146.700,10 Kč, tj. cena včetně DPH činí 177.402,84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B34D53">
        <w:rPr>
          <w:rFonts w:ascii="Tahoma" w:hAnsi="Tahoma" w:cs="Tahoma"/>
          <w:noProof/>
          <w:sz w:val="20"/>
          <w:szCs w:val="20"/>
        </w:rPr>
        <w:t>31. 7. 2024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B34D53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B34D53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53" w:rsidRDefault="00B34D53">
      <w:r>
        <w:separator/>
      </w:r>
    </w:p>
  </w:endnote>
  <w:endnote w:type="continuationSeparator" w:id="0">
    <w:p w:rsidR="00B34D53" w:rsidRDefault="00B3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53" w:rsidRDefault="00B34D53">
      <w:r>
        <w:separator/>
      </w:r>
    </w:p>
  </w:footnote>
  <w:footnote w:type="continuationSeparator" w:id="0">
    <w:p w:rsidR="00B34D53" w:rsidRDefault="00B3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53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34D53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836E3-5AE9-4600-B02F-10DCC9AE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4D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1237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2024-07-04T09:40:00Z</cp:lastPrinted>
  <dcterms:created xsi:type="dcterms:W3CDTF">2024-07-04T09:40:00Z</dcterms:created>
  <dcterms:modified xsi:type="dcterms:W3CDTF">2024-07-04T09:42:00Z</dcterms:modified>
</cp:coreProperties>
</file>