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00CB56E6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13242D2A" w14:textId="12888AB0" w:rsidR="00730F72" w:rsidRPr="0084403A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  <w:b/>
          <w:bCs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84403A" w:rsidRPr="0084403A">
        <w:rPr>
          <w:rFonts w:ascii="Arial" w:hAnsi="Arial" w:cs="Arial"/>
          <w:b/>
          <w:bCs/>
        </w:rPr>
        <w:t>24/003/185</w:t>
      </w:r>
    </w:p>
    <w:p w14:paraId="11AD112F" w14:textId="77777777" w:rsidR="00CC7E9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777777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B43697">
        <w:rPr>
          <w:rFonts w:ascii="Arial" w:hAnsi="Arial" w:cs="Arial"/>
        </w:rPr>
        <w:t>19-5524200217/0100</w:t>
      </w:r>
      <w:r w:rsidR="00E76C75">
        <w:rPr>
          <w:rFonts w:ascii="Arial" w:hAnsi="Arial" w:cs="Arial"/>
        </w:rPr>
        <w:t xml:space="preserve"> účet vedený u Komerční banky a.s.</w:t>
      </w:r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13D174F2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5FA4A4DB" w14:textId="4A554BFC" w:rsidR="005C3AE8" w:rsidRPr="005C3AE8" w:rsidRDefault="005C3AE8" w:rsidP="005C3AE8">
      <w:pPr>
        <w:tabs>
          <w:tab w:val="left" w:pos="2268"/>
        </w:tabs>
        <w:spacing w:after="40"/>
        <w:rPr>
          <w:rFonts w:ascii="Arial" w:hAnsi="Arial" w:cs="Arial"/>
          <w:b/>
          <w:bCs/>
        </w:rPr>
      </w:pPr>
      <w:r w:rsidRPr="005C3AE8">
        <w:rPr>
          <w:rFonts w:ascii="Arial" w:hAnsi="Arial" w:cs="Arial"/>
          <w:b/>
          <w:bCs/>
        </w:rPr>
        <w:t xml:space="preserve">STATUTÁRNÍ MĚSTO LIBEREC </w:t>
      </w:r>
    </w:p>
    <w:p w14:paraId="4AA6CE9D" w14:textId="68685354" w:rsidR="00CC29E1" w:rsidRPr="005C3AE8" w:rsidRDefault="00CC29E1" w:rsidP="005C3AE8">
      <w:pPr>
        <w:pStyle w:val="Default"/>
        <w:rPr>
          <w:color w:val="auto"/>
          <w:sz w:val="20"/>
          <w:szCs w:val="20"/>
        </w:rPr>
      </w:pPr>
      <w:r w:rsidRPr="005C3AE8">
        <w:rPr>
          <w:color w:val="auto"/>
          <w:sz w:val="20"/>
          <w:szCs w:val="20"/>
        </w:rPr>
        <w:t>se sídlem</w:t>
      </w:r>
      <w:r w:rsidR="000A5CAB" w:rsidRPr="005C3AE8">
        <w:rPr>
          <w:color w:val="auto"/>
          <w:sz w:val="20"/>
          <w:szCs w:val="20"/>
        </w:rPr>
        <w:t>:</w:t>
      </w:r>
      <w:r w:rsidR="000A5CAB" w:rsidRPr="005C3AE8">
        <w:rPr>
          <w:color w:val="auto"/>
          <w:sz w:val="20"/>
          <w:szCs w:val="20"/>
        </w:rPr>
        <w:tab/>
      </w:r>
      <w:r w:rsidR="005C3AE8" w:rsidRPr="005C3AE8">
        <w:rPr>
          <w:color w:val="auto"/>
          <w:sz w:val="20"/>
          <w:szCs w:val="20"/>
        </w:rPr>
        <w:t>460 01, Nám. Dr. E. Beneše 1, Liberec I</w:t>
      </w:r>
    </w:p>
    <w:p w14:paraId="7C5137EB" w14:textId="3A61F183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5C3AE8">
        <w:rPr>
          <w:rFonts w:ascii="Arial" w:hAnsi="Arial" w:cs="Arial"/>
        </w:rPr>
        <w:t>00262978</w:t>
      </w:r>
    </w:p>
    <w:p w14:paraId="52DB3F3C" w14:textId="1F1A2E0C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5C3AE8">
        <w:rPr>
          <w:rFonts w:ascii="Arial" w:hAnsi="Arial" w:cs="Arial"/>
        </w:rPr>
        <w:t>00262978</w:t>
      </w:r>
    </w:p>
    <w:p w14:paraId="4015CD38" w14:textId="5220CF4F" w:rsidR="00CC29E1" w:rsidRPr="005C3AE8" w:rsidRDefault="000A5CAB" w:rsidP="005C3AE8">
      <w:pPr>
        <w:pStyle w:val="Default"/>
        <w:rPr>
          <w:color w:val="auto"/>
          <w:sz w:val="20"/>
          <w:szCs w:val="20"/>
        </w:rPr>
      </w:pPr>
      <w:r w:rsidRPr="005C3AE8">
        <w:rPr>
          <w:color w:val="auto"/>
          <w:sz w:val="20"/>
          <w:szCs w:val="20"/>
        </w:rPr>
        <w:t>bankovní spojení:</w:t>
      </w:r>
      <w:r w:rsidRPr="005C3AE8">
        <w:rPr>
          <w:color w:val="auto"/>
          <w:sz w:val="20"/>
          <w:szCs w:val="20"/>
        </w:rPr>
        <w:tab/>
      </w:r>
      <w:r w:rsidR="005C3AE8">
        <w:rPr>
          <w:color w:val="auto"/>
          <w:sz w:val="20"/>
          <w:szCs w:val="20"/>
        </w:rPr>
        <w:t xml:space="preserve">   </w:t>
      </w:r>
      <w:r w:rsidR="005C3AE8" w:rsidRPr="005C3AE8">
        <w:rPr>
          <w:color w:val="auto"/>
          <w:sz w:val="20"/>
          <w:szCs w:val="20"/>
        </w:rPr>
        <w:t xml:space="preserve">ČS, a.s., </w:t>
      </w:r>
      <w:proofErr w:type="spellStart"/>
      <w:r w:rsidR="005C3AE8" w:rsidRPr="005C3AE8">
        <w:rPr>
          <w:color w:val="auto"/>
          <w:sz w:val="20"/>
          <w:szCs w:val="20"/>
        </w:rPr>
        <w:t>č.ú</w:t>
      </w:r>
      <w:proofErr w:type="spellEnd"/>
      <w:r w:rsidR="005C3AE8" w:rsidRPr="005C3AE8">
        <w:rPr>
          <w:color w:val="auto"/>
          <w:sz w:val="20"/>
          <w:szCs w:val="20"/>
        </w:rPr>
        <w:t>.: 4096142/0800</w:t>
      </w:r>
    </w:p>
    <w:p w14:paraId="748202BC" w14:textId="203D370A" w:rsidR="00CC29E1" w:rsidRPr="005C3AE8" w:rsidRDefault="00CC29E1" w:rsidP="005C3AE8">
      <w:pPr>
        <w:pStyle w:val="Default"/>
        <w:rPr>
          <w:color w:val="auto"/>
          <w:sz w:val="20"/>
          <w:szCs w:val="20"/>
        </w:rPr>
      </w:pPr>
      <w:r w:rsidRPr="005C3AE8">
        <w:rPr>
          <w:color w:val="auto"/>
          <w:sz w:val="20"/>
          <w:szCs w:val="20"/>
        </w:rPr>
        <w:t xml:space="preserve">zastoupená </w:t>
      </w:r>
      <w:r w:rsidR="005C3AE8" w:rsidRPr="005C3AE8">
        <w:rPr>
          <w:color w:val="auto"/>
          <w:sz w:val="20"/>
          <w:szCs w:val="20"/>
        </w:rPr>
        <w:t xml:space="preserve">  </w:t>
      </w:r>
      <w:r w:rsidR="005C3AE8" w:rsidRPr="005C3AE8">
        <w:rPr>
          <w:color w:val="auto"/>
          <w:sz w:val="20"/>
          <w:szCs w:val="20"/>
        </w:rPr>
        <w:t>Ing. Jaroslavem Zámečníkem, CSC., primátorem města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1BB3378E" w14:textId="77777777" w:rsidR="005C3AE8" w:rsidRDefault="005C3AE8" w:rsidP="005C3AE8">
      <w:pPr>
        <w:pStyle w:val="lnek-odstavec"/>
        <w:tabs>
          <w:tab w:val="center" w:pos="4890"/>
        </w:tabs>
        <w:spacing w:before="300"/>
        <w:jc w:val="left"/>
      </w:pPr>
    </w:p>
    <w:p w14:paraId="66BA543E" w14:textId="078F3364" w:rsidR="00CC7E94" w:rsidRPr="00314EB0" w:rsidRDefault="005C3AE8" w:rsidP="005C3AE8">
      <w:pPr>
        <w:pStyle w:val="lnek-odstavec"/>
        <w:tabs>
          <w:tab w:val="center" w:pos="4890"/>
        </w:tabs>
        <w:spacing w:before="300"/>
        <w:jc w:val="left"/>
      </w:pPr>
      <w:r>
        <w:tab/>
      </w:r>
      <w:r w:rsidR="00CC7E94"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5A233286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5A41DA" w:rsidRPr="005A41DA">
        <w:rPr>
          <w:rFonts w:ascii="Arial" w:hAnsi="Arial" w:cs="Arial"/>
          <w:b/>
          <w:bCs/>
        </w:rPr>
        <w:t>„Rekonstrukce ulice Sokolská – etapa 1, Liberec“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20716215" w14:textId="799DCE35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5A41DA" w:rsidRPr="005A41DA">
        <w:rPr>
          <w:rFonts w:ascii="Arial" w:hAnsi="Arial" w:cs="Arial"/>
          <w:b/>
          <w:bCs/>
        </w:rPr>
        <w:t>„Rekonstrukce ulice Sokolská – etapa 1, Liberec</w:t>
      </w:r>
      <w:r w:rsidR="005A41DA">
        <w:rPr>
          <w:rFonts w:ascii="Arial" w:hAnsi="Arial" w:cs="Arial"/>
          <w:b/>
          <w:bCs/>
        </w:rPr>
        <w:t xml:space="preserve"> – Přeložky sítí ČD Telematika</w:t>
      </w:r>
      <w:r w:rsidR="005A41DA" w:rsidRPr="005A41DA">
        <w:rPr>
          <w:rFonts w:ascii="Arial" w:hAnsi="Arial" w:cs="Arial"/>
          <w:b/>
          <w:bCs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935FEDE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C301E5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C301E5">
        <w:rPr>
          <w:rFonts w:ascii="Arial" w:hAnsi="Arial" w:cs="Arial"/>
          <w:sz w:val="20"/>
          <w:szCs w:val="20"/>
        </w:rPr>
        <w:t>Nýdrle</w:t>
      </w:r>
      <w:proofErr w:type="spellEnd"/>
      <w:r w:rsidR="00C301E5">
        <w:rPr>
          <w:rFonts w:ascii="Arial" w:hAnsi="Arial" w:cs="Arial"/>
          <w:sz w:val="20"/>
          <w:szCs w:val="20"/>
        </w:rPr>
        <w:t xml:space="preserve"> – projektová kancelář, spol. s r.o.</w:t>
      </w:r>
      <w:r w:rsidR="00805941" w:rsidRPr="005221E0">
        <w:rPr>
          <w:rFonts w:ascii="Arial" w:hAnsi="Arial" w:cs="Arial"/>
        </w:rPr>
        <w:t>,</w:t>
      </w:r>
      <w:r w:rsidR="00C301E5">
        <w:rPr>
          <w:rFonts w:ascii="Arial" w:hAnsi="Arial" w:cs="Arial"/>
        </w:rPr>
        <w:t xml:space="preserve"> </w:t>
      </w:r>
      <w:r w:rsidR="00C301E5" w:rsidRPr="00C301E5">
        <w:rPr>
          <w:rFonts w:ascii="Arial" w:hAnsi="Arial" w:cs="Arial"/>
          <w:sz w:val="20"/>
          <w:szCs w:val="20"/>
        </w:rPr>
        <w:t>ve stupni PDPS z 01/2023</w:t>
      </w:r>
      <w:r w:rsidR="00C301E5">
        <w:rPr>
          <w:rFonts w:ascii="Arial" w:hAnsi="Arial" w:cs="Arial"/>
        </w:rPr>
        <w:t>.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027EBC4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2F471D93" w14:textId="40764965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6AFEE08A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771BC7">
        <w:rPr>
          <w:rFonts w:ascii="Arial" w:hAnsi="Arial" w:cs="Arial"/>
          <w:sz w:val="20"/>
          <w:szCs w:val="20"/>
        </w:rPr>
        <w:t>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04E93E4E" w:rsidR="00DF7F18" w:rsidRPr="005C3AE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307F475" w14:textId="77777777" w:rsidR="005C3AE8" w:rsidRPr="00DF7F18" w:rsidRDefault="005C3AE8" w:rsidP="005C3AE8">
      <w:pPr>
        <w:pStyle w:val="Odstavecseseznamem"/>
        <w:tabs>
          <w:tab w:val="left" w:pos="567"/>
        </w:tabs>
        <w:spacing w:before="120"/>
        <w:ind w:left="899"/>
        <w:jc w:val="both"/>
        <w:rPr>
          <w:rFonts w:ascii="Arial" w:hAnsi="Arial" w:cs="Arial"/>
        </w:rPr>
      </w:pPr>
    </w:p>
    <w:p w14:paraId="6CB043E8" w14:textId="358A97DD" w:rsidR="005C3AE8" w:rsidRPr="005C3AE8" w:rsidRDefault="00DF7F18" w:rsidP="005C3AE8">
      <w:pPr>
        <w:pStyle w:val="Default"/>
        <w:numPr>
          <w:ilvl w:val="0"/>
          <w:numId w:val="3"/>
        </w:numPr>
      </w:pPr>
      <w:r w:rsidRPr="00CE1E9A">
        <w:rPr>
          <w:sz w:val="20"/>
          <w:szCs w:val="20"/>
        </w:rPr>
        <w:t xml:space="preserve">Stavebník ke dni uzavření této </w:t>
      </w:r>
      <w:r w:rsidR="00221FF7" w:rsidRPr="00CE1E9A">
        <w:rPr>
          <w:sz w:val="20"/>
          <w:szCs w:val="20"/>
        </w:rPr>
        <w:t>S</w:t>
      </w:r>
      <w:r w:rsidRPr="00CE1E9A">
        <w:rPr>
          <w:sz w:val="20"/>
          <w:szCs w:val="20"/>
        </w:rPr>
        <w:t xml:space="preserve">mlouvy převádí na ČDT některá práva a povinnosti </w:t>
      </w:r>
      <w:r w:rsidR="005C3AE8" w:rsidRPr="005C3AE8">
        <w:rPr>
          <w:sz w:val="20"/>
          <w:szCs w:val="20"/>
        </w:rPr>
        <w:t xml:space="preserve">ze společného povolení č. SURR/7130/228530/22-Sta/ÚR+SP a to toliko práva k umístění, resp. přeložení veřejné komunikační sítě ČDT za podmínek stanovených v tomto územním rozhodnutí, a dále související práva a povinnosti, která plynou v tomto územním rozhodnutí, a dále související práva a povinnosti, která plynou ze stanovisek dotčených orgánů státní správy, správců inženýrských sítí a účastníků </w:t>
      </w:r>
      <w:r w:rsidR="005C3AE8" w:rsidRPr="005C3AE8">
        <w:rPr>
          <w:sz w:val="20"/>
          <w:szCs w:val="20"/>
        </w:rPr>
        <w:lastRenderedPageBreak/>
        <w:t xml:space="preserve">řízení, tak jak jsou v tomto územním rozhodnutí stanoveny. ČDT tato převáděná práva ke dni uzavření této Smlouvy přijímá. </w:t>
      </w:r>
    </w:p>
    <w:p w14:paraId="58229722" w14:textId="77777777" w:rsidR="005C3AE8" w:rsidRDefault="005C3AE8" w:rsidP="005C3AE8">
      <w:pPr>
        <w:pStyle w:val="Default"/>
        <w:ind w:left="705"/>
      </w:pPr>
    </w:p>
    <w:p w14:paraId="420CCC4B" w14:textId="77777777" w:rsidR="005C3AE8" w:rsidRDefault="005C3AE8" w:rsidP="005C3AE8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ČDT se zavazuje, že zajistí realizaci Překládky v souladu s harmonogramem celé stavby zpracovaným Stavebníkem. </w:t>
      </w:r>
    </w:p>
    <w:p w14:paraId="20F0C5CA" w14:textId="77777777" w:rsidR="005C3AE8" w:rsidRPr="005C3AE8" w:rsidRDefault="005C3AE8" w:rsidP="005C3AE8">
      <w:pPr>
        <w:pStyle w:val="Default"/>
        <w:ind w:left="705"/>
      </w:pP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257557C3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104., odst. 17.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4F3EC074" w14:textId="77777777" w:rsidR="003A7CFC" w:rsidRDefault="003A7CF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</w:p>
    <w:p w14:paraId="50AF11D9" w14:textId="5DBDA3B8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upřesněných nákladů Překládky bude stanovena po vyhotovení Projektu, na jeho</w:t>
      </w:r>
      <w:r w:rsidR="00DE1F7B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základě (dále j</w:t>
      </w:r>
      <w:r w:rsidR="001D1523">
        <w:rPr>
          <w:rFonts w:ascii="Arial" w:hAnsi="Arial" w:cs="Arial"/>
        </w:rPr>
        <w:t>en „Náklady Pře</w:t>
      </w:r>
      <w:r w:rsidR="001F3502">
        <w:rPr>
          <w:rFonts w:ascii="Arial" w:hAnsi="Arial" w:cs="Arial"/>
        </w:rPr>
        <w:t>kládky</w:t>
      </w:r>
      <w:r w:rsidR="001D1523">
        <w:rPr>
          <w:rFonts w:ascii="Arial" w:hAnsi="Arial" w:cs="Arial"/>
        </w:rPr>
        <w:t xml:space="preserve"> stanovené n</w:t>
      </w:r>
      <w:r>
        <w:rPr>
          <w:rFonts w:ascii="Arial" w:hAnsi="Arial" w:cs="Arial"/>
        </w:rPr>
        <w:t>a základě Projektu“) ČDT písemně oznámí do dv</w:t>
      </w:r>
      <w:r w:rsidR="00221FF7">
        <w:rPr>
          <w:rFonts w:ascii="Arial" w:hAnsi="Arial" w:cs="Arial"/>
        </w:rPr>
        <w:t>ou (2) měsíců od uzavření této S</w:t>
      </w:r>
      <w:r>
        <w:rPr>
          <w:rFonts w:ascii="Arial" w:hAnsi="Arial" w:cs="Arial"/>
        </w:rPr>
        <w:t>mlouvy Stavebníkov</w:t>
      </w:r>
      <w:r w:rsidR="00DE1F7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výši nákladů Překládky stanovených na základě Projektu</w:t>
      </w:r>
      <w:r w:rsidRPr="00DE1F7B">
        <w:rPr>
          <w:rFonts w:ascii="Arial" w:hAnsi="Arial" w:cs="Arial"/>
        </w:rPr>
        <w:t>, pokud se tak již nesta</w:t>
      </w:r>
      <w:r w:rsidR="00221FF7" w:rsidRPr="00DE1F7B">
        <w:rPr>
          <w:rFonts w:ascii="Arial" w:hAnsi="Arial" w:cs="Arial"/>
        </w:rPr>
        <w:t>lo</w:t>
      </w:r>
      <w:r w:rsidR="00DE1F7B">
        <w:rPr>
          <w:rFonts w:ascii="Arial" w:hAnsi="Arial" w:cs="Arial"/>
        </w:rPr>
        <w:t>,</w:t>
      </w:r>
      <w:r w:rsidR="00221FF7" w:rsidRPr="00DE1F7B">
        <w:rPr>
          <w:rFonts w:ascii="Arial" w:hAnsi="Arial" w:cs="Arial"/>
        </w:rPr>
        <w:t xml:space="preserve"> viz předchozí odstavec této S</w:t>
      </w:r>
      <w:r w:rsidRPr="00DE1F7B">
        <w:rPr>
          <w:rFonts w:ascii="Arial" w:hAnsi="Arial" w:cs="Arial"/>
        </w:rPr>
        <w:t>mlouvy.</w:t>
      </w:r>
    </w:p>
    <w:p w14:paraId="674C969C" w14:textId="3B7245F4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003AC447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98896F5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3814139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753F6C60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zrušením a následným výmazem služebnosti (váznoucí na nemovitostech dotčených původní, překládanou, trasou SEK) z katastru nemovitostí;</w:t>
      </w:r>
    </w:p>
    <w:p w14:paraId="1D2DA2C0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96D9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1C7E7C3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koordinační výkresy, povodňové plány a zaměření, vyžadované dotčenými subjekty;</w:t>
      </w:r>
    </w:p>
    <w:p w14:paraId="3B705114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EE332D9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4D228CB7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 v platném znění;</w:t>
      </w:r>
    </w:p>
    <w:p w14:paraId="417D392C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související se zvláštním užíváním komunikace ve smyslu § 25 zákona č. 13/1997 Sb., o pozemních komunikacích, v platném znění;</w:t>
      </w:r>
    </w:p>
    <w:p w14:paraId="7C072E03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náklady na peněžité plnění plynoucí z nájemních smluv, jejichž uzavření je nutné pro realizaci Překládky;</w:t>
      </w:r>
    </w:p>
    <w:p w14:paraId="3A7D31E9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6FF0853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7932A8ED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2B91B9A6" w14:textId="0398CFD5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zde nespecifikované náklady nezbytné pro realizaci Překládky, na nichž se ČDT a Stavebník dohodnou.</w:t>
      </w:r>
    </w:p>
    <w:p w14:paraId="21FE4E96" w14:textId="15CFA59F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3419A40A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400C4BCC" w14:textId="19BEDD32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2CF66744" w14:textId="77777777" w:rsidR="003A7CFC" w:rsidRDefault="003A7CF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36FD5026" w14:textId="61FC73E1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je splatná do 10 dnů poté, co bude písemná výzva jedné strany v tomto směru druhé straně doručena.</w:t>
      </w:r>
    </w:p>
    <w:p w14:paraId="2EF89CD8" w14:textId="77777777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Povinností zaplatit smlu</w:t>
      </w:r>
      <w:r w:rsidR="00A46B8E">
        <w:rPr>
          <w:rFonts w:ascii="Arial" w:hAnsi="Arial" w:cs="Arial"/>
          <w:sz w:val="20"/>
          <w:szCs w:val="20"/>
        </w:rPr>
        <w:t>vní pokutu,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389D">
        <w:rPr>
          <w:rFonts w:ascii="Arial" w:hAnsi="Arial" w:cs="Arial"/>
          <w:sz w:val="20"/>
          <w:szCs w:val="20"/>
        </w:rPr>
        <w:t>VII,</w:t>
      </w:r>
      <w:r w:rsidR="00A46B8E">
        <w:rPr>
          <w:rFonts w:ascii="Arial" w:hAnsi="Arial" w:cs="Arial"/>
          <w:sz w:val="20"/>
          <w:szCs w:val="20"/>
        </w:rPr>
        <w:t>,</w:t>
      </w:r>
      <w:proofErr w:type="gramEnd"/>
      <w:r w:rsidR="00A46B8E">
        <w:rPr>
          <w:rFonts w:ascii="Arial" w:hAnsi="Arial" w:cs="Arial"/>
          <w:sz w:val="20"/>
          <w:szCs w:val="20"/>
        </w:rPr>
        <w:t xml:space="preserve"> není dotčeno právo na náhradu škody, a to ani co do výše, v níž případně náhrada škody smluvní pokutu přesáhne. Povinnost zaplatit smluvní pokutu může vzniknout i opakovaně, její celková výše není omezena.</w:t>
      </w:r>
    </w:p>
    <w:p w14:paraId="12A5D88C" w14:textId="03E45E18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zaplatit smluvní pokutu,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6AFA6FA5" w14:textId="6E4949E0" w:rsidR="003A7CFC" w:rsidRDefault="003A7CFC" w:rsidP="003A7CF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CA40220" w14:textId="0AF240E6" w:rsidR="003A7CFC" w:rsidRDefault="003A7CFC" w:rsidP="003A7CF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AB05EAC" w14:textId="77777777" w:rsidR="003A7CFC" w:rsidRPr="003A7CFC" w:rsidRDefault="003A7CFC" w:rsidP="003A7CF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lastRenderedPageBreak/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6F5A48B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4A954DD4" w14:textId="29DA58C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5CD7ABB6" w14:textId="27958C6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58E33BF5" w14:textId="63DD98AD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4C1A59CE" w14:textId="1D22C6BF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realizace:</w:t>
      </w:r>
      <w:r w:rsidR="007A78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29F406C9" w14:textId="2E241FA7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A78E5">
        <w:rPr>
          <w:rFonts w:ascii="Arial" w:hAnsi="Arial" w:cs="Arial"/>
          <w:sz w:val="20"/>
          <w:szCs w:val="20"/>
        </w:rPr>
        <w:t>pavel.svejdar@cdt.cz</w:t>
      </w:r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11B5036C" w14:textId="5DDA527C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 (zástupce):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6850F4C3" w14:textId="42C39523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66C3E02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682DA0F5" w14:textId="72A86F3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3984B5A4" w14:textId="1BFCDE2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333917DD" w14:textId="3609D1E3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A7CFC">
        <w:rPr>
          <w:rFonts w:ascii="Arial" w:hAnsi="Arial" w:cs="Arial"/>
          <w:sz w:val="20"/>
          <w:szCs w:val="20"/>
        </w:rPr>
        <w:t>xx</w:t>
      </w:r>
      <w:proofErr w:type="spellEnd"/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3A0EF0E4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337306FD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7240C92" w14:textId="2D520444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CF5C48">
        <w:rPr>
          <w:rFonts w:ascii="Arial" w:hAnsi="Arial" w:cs="Arial"/>
          <w:sz w:val="20"/>
          <w:szCs w:val="20"/>
        </w:rPr>
        <w:t xml:space="preserve">mlouva zanikne prvním dnem následujícím po uplynutí (2) dvou let od jejího uzavření, aniž by realizace Překládky byla zahájena.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smluvní pokuty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>mlouvy, a tomu odpovídající povinnost Stavebníka tuto pokutu zaplatit. Právo na náhradu škody zůstává zachováno.</w:t>
      </w: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1ADE9401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25252581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lastRenderedPageBreak/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1339D414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5A9FFECE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418248B0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1C3455E3" w:rsidR="00612ED7" w:rsidRPr="00797EDC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</w:t>
      </w:r>
      <w:r w:rsidR="001D6FC3">
        <w:rPr>
          <w:rFonts w:ascii="Arial" w:hAnsi="Arial" w:cs="Arial"/>
          <w:snapToGrid w:val="0"/>
        </w:rPr>
        <w:t>bude vyhotovena v elektronické podobě a bude podepsána uznávanými elektronickými podpisy</w:t>
      </w:r>
      <w:r w:rsidR="00612ED7" w:rsidRPr="00797EDC">
        <w:rPr>
          <w:rFonts w:ascii="Arial" w:hAnsi="Arial" w:cs="Arial"/>
          <w:snapToGrid w:val="0"/>
        </w:rPr>
        <w:t>.</w:t>
      </w:r>
    </w:p>
    <w:p w14:paraId="18ADA062" w14:textId="2B45A4E5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</w:t>
      </w:r>
      <w:r w:rsidR="00F128CD">
        <w:rPr>
          <w:rFonts w:ascii="Arial" w:hAnsi="Arial" w:cs="Arial"/>
          <w:snapToGrid w:val="0"/>
        </w:rPr>
        <w:t>Specifické p</w:t>
      </w:r>
      <w:r w:rsidR="00E92DBB" w:rsidRPr="00E92DBB">
        <w:rPr>
          <w:rFonts w:ascii="Arial" w:hAnsi="Arial" w:cs="Arial"/>
          <w:snapToGrid w:val="0"/>
        </w:rPr>
        <w:t xml:space="preserve">odmínky pro stavební činnosti v blízkosti komunikačních vedení ve vlastnictví ČD – Telematika </w:t>
      </w:r>
      <w:proofErr w:type="gramStart"/>
      <w:r w:rsidR="00E92DBB" w:rsidRPr="00E92DBB">
        <w:rPr>
          <w:rFonts w:ascii="Arial" w:hAnsi="Arial" w:cs="Arial"/>
          <w:snapToGrid w:val="0"/>
        </w:rPr>
        <w:t>a.s.</w:t>
      </w:r>
      <w:r w:rsidR="003D41BA" w:rsidRPr="00797EDC">
        <w:rPr>
          <w:rFonts w:ascii="Arial" w:hAnsi="Arial" w:cs="Arial"/>
          <w:snapToGrid w:val="0"/>
        </w:rPr>
        <w:t>.</w:t>
      </w:r>
      <w:proofErr w:type="gramEnd"/>
    </w:p>
    <w:p w14:paraId="76B9A6A1" w14:textId="3C55371D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0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4B3A5E48" w14:textId="0B06C951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má nastaven funkční systém kontroly obchodních partnerů ve vztahu k mezinárodním sankcím vyplývajícím zejména z předpisů a rozhodnutí orgánů Evropské unie, Organizace spojených národů, </w:t>
      </w:r>
      <w:r w:rsidRPr="00453596">
        <w:rPr>
          <w:rFonts w:ascii="Arial" w:hAnsi="Arial" w:cs="Arial"/>
          <w:bCs/>
        </w:rPr>
        <w:lastRenderedPageBreak/>
        <w:t>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193FCA4C" w14:textId="6C029E6A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3F408CCB" w14:textId="3B843EE5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2A6610A7" w14:textId="5B6DB0BB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2899A665" w14:textId="7D9C6905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12D8A723" w14:textId="3DE7BF1E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0"/>
    </w:p>
    <w:p w14:paraId="7E9BB3F1" w14:textId="365320C8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E1D78CA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638215B8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F128CD">
              <w:rPr>
                <w:rFonts w:ascii="Arial" w:hAnsi="Arial" w:cs="Arial"/>
              </w:rPr>
              <w:t>Liberci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3A7CFC">
              <w:rPr>
                <w:rFonts w:ascii="Arial" w:hAnsi="Arial" w:cs="Arial"/>
              </w:rPr>
              <w:t>26.06.2024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61B381C3" w14:textId="77777777" w:rsidR="005C3AE8" w:rsidRDefault="005C3AE8" w:rsidP="005C3AE8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STATUTÁRNÍ MĚSTO LIBEREC </w:t>
            </w:r>
          </w:p>
          <w:p w14:paraId="30CD2461" w14:textId="49A2C9E2" w:rsidR="00383BE8" w:rsidRPr="00043DCF" w:rsidRDefault="00383BE8" w:rsidP="00797E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7AD66A52" w14:textId="77777777" w:rsidR="00383BE8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2330F29E" w14:textId="60D2BBE5" w:rsidR="00F128CD" w:rsidRPr="00AC5BAE" w:rsidRDefault="00F128CD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2612E61" w14:textId="77777777" w:rsidR="005C3AE8" w:rsidRDefault="005C3AE8" w:rsidP="005C3AE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Jaroslav Zámečník CSc.</w:t>
            </w:r>
          </w:p>
          <w:p w14:paraId="6C851B10" w14:textId="77777777" w:rsidR="005C3AE8" w:rsidRDefault="005C3AE8" w:rsidP="005C3AE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primátor města </w:t>
            </w:r>
          </w:p>
          <w:p w14:paraId="1CE51640" w14:textId="099D250C" w:rsidR="006B5573" w:rsidRDefault="005C3AE8" w:rsidP="005C3AE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14:paraId="749BCE55" w14:textId="174D91B5" w:rsidR="00F128CD" w:rsidRPr="00AC5BAE" w:rsidRDefault="00F128CD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  <w:tr w:rsidR="00660439" w:rsidRPr="00AC5BAE" w14:paraId="4CE8E963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5527FCCB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2573F2BD" w14:textId="77777777" w:rsidTr="00840BA4">
        <w:trPr>
          <w:gridAfter w:val="3"/>
          <w:wAfter w:w="5435" w:type="dxa"/>
          <w:trHeight w:val="1202"/>
          <w:jc w:val="center"/>
        </w:trPr>
        <w:tc>
          <w:tcPr>
            <w:tcW w:w="3654" w:type="dxa"/>
          </w:tcPr>
          <w:p w14:paraId="1E4E5050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241A8358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67DD0775" w14:textId="4817679B" w:rsidR="00F128CD" w:rsidRPr="00AC5BAE" w:rsidRDefault="00F128CD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0B7DEE6A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4BD5" w14:textId="77777777" w:rsidR="00CB570C" w:rsidRDefault="00CB570C">
      <w:r>
        <w:separator/>
      </w:r>
    </w:p>
  </w:endnote>
  <w:endnote w:type="continuationSeparator" w:id="0">
    <w:p w14:paraId="5D49B259" w14:textId="77777777" w:rsidR="00CB570C" w:rsidRDefault="00CB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97DD" w14:textId="77777777" w:rsidR="00CB570C" w:rsidRDefault="00CB570C">
      <w:r>
        <w:separator/>
      </w:r>
    </w:p>
  </w:footnote>
  <w:footnote w:type="continuationSeparator" w:id="0">
    <w:p w14:paraId="2A24E3E9" w14:textId="77777777" w:rsidR="00CB570C" w:rsidRDefault="00CB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5DE3"/>
    <w:rsid w:val="000C65D9"/>
    <w:rsid w:val="000C7DD2"/>
    <w:rsid w:val="000D0C50"/>
    <w:rsid w:val="000E19FF"/>
    <w:rsid w:val="000F0AE9"/>
    <w:rsid w:val="001024D7"/>
    <w:rsid w:val="00103340"/>
    <w:rsid w:val="00110ACF"/>
    <w:rsid w:val="00111DDD"/>
    <w:rsid w:val="00113A3B"/>
    <w:rsid w:val="00130CAC"/>
    <w:rsid w:val="00142B53"/>
    <w:rsid w:val="001672CE"/>
    <w:rsid w:val="001740F9"/>
    <w:rsid w:val="00185377"/>
    <w:rsid w:val="001869E3"/>
    <w:rsid w:val="00186C03"/>
    <w:rsid w:val="00192691"/>
    <w:rsid w:val="0019405D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D6FC3"/>
    <w:rsid w:val="001E1EE3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0D32"/>
    <w:rsid w:val="002716EB"/>
    <w:rsid w:val="002722F2"/>
    <w:rsid w:val="0028037B"/>
    <w:rsid w:val="00282288"/>
    <w:rsid w:val="0028798F"/>
    <w:rsid w:val="00295AA3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79A"/>
    <w:rsid w:val="00334F8E"/>
    <w:rsid w:val="00343953"/>
    <w:rsid w:val="003544F5"/>
    <w:rsid w:val="0036416A"/>
    <w:rsid w:val="003650B7"/>
    <w:rsid w:val="003664FB"/>
    <w:rsid w:val="00367085"/>
    <w:rsid w:val="00370B57"/>
    <w:rsid w:val="00374343"/>
    <w:rsid w:val="00374B5B"/>
    <w:rsid w:val="003817C7"/>
    <w:rsid w:val="00381912"/>
    <w:rsid w:val="00383BE8"/>
    <w:rsid w:val="00393EDF"/>
    <w:rsid w:val="003A27D1"/>
    <w:rsid w:val="003A7CFC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E4A12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931FD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358B"/>
    <w:rsid w:val="004E4C3B"/>
    <w:rsid w:val="004E729F"/>
    <w:rsid w:val="004F720F"/>
    <w:rsid w:val="00510C7D"/>
    <w:rsid w:val="00513E3B"/>
    <w:rsid w:val="0051420E"/>
    <w:rsid w:val="00514834"/>
    <w:rsid w:val="00520676"/>
    <w:rsid w:val="005219D4"/>
    <w:rsid w:val="005221E0"/>
    <w:rsid w:val="00523DE3"/>
    <w:rsid w:val="00534975"/>
    <w:rsid w:val="00536C6C"/>
    <w:rsid w:val="00552FD0"/>
    <w:rsid w:val="00575537"/>
    <w:rsid w:val="00576596"/>
    <w:rsid w:val="00582FF1"/>
    <w:rsid w:val="00591ADB"/>
    <w:rsid w:val="00594364"/>
    <w:rsid w:val="005953A2"/>
    <w:rsid w:val="005A027E"/>
    <w:rsid w:val="005A1633"/>
    <w:rsid w:val="005A2200"/>
    <w:rsid w:val="005A3750"/>
    <w:rsid w:val="005A41DA"/>
    <w:rsid w:val="005A7316"/>
    <w:rsid w:val="005B1123"/>
    <w:rsid w:val="005B5B37"/>
    <w:rsid w:val="005C372B"/>
    <w:rsid w:val="005C3AE8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2ED7"/>
    <w:rsid w:val="00616357"/>
    <w:rsid w:val="006202A0"/>
    <w:rsid w:val="0062675D"/>
    <w:rsid w:val="00633318"/>
    <w:rsid w:val="00641597"/>
    <w:rsid w:val="00654685"/>
    <w:rsid w:val="00655F77"/>
    <w:rsid w:val="0065741F"/>
    <w:rsid w:val="00660439"/>
    <w:rsid w:val="006605D3"/>
    <w:rsid w:val="00666D97"/>
    <w:rsid w:val="00670D40"/>
    <w:rsid w:val="00673165"/>
    <w:rsid w:val="00680E77"/>
    <w:rsid w:val="0068477E"/>
    <w:rsid w:val="00687C59"/>
    <w:rsid w:val="00694BF2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16967"/>
    <w:rsid w:val="00725B4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1BC7"/>
    <w:rsid w:val="007769FE"/>
    <w:rsid w:val="00782FFE"/>
    <w:rsid w:val="007854AA"/>
    <w:rsid w:val="00794075"/>
    <w:rsid w:val="00795834"/>
    <w:rsid w:val="00797EDC"/>
    <w:rsid w:val="007A78E5"/>
    <w:rsid w:val="007B5742"/>
    <w:rsid w:val="007C6E75"/>
    <w:rsid w:val="007D0AE5"/>
    <w:rsid w:val="007D1EE1"/>
    <w:rsid w:val="007D5FE3"/>
    <w:rsid w:val="007D63CE"/>
    <w:rsid w:val="007E23FF"/>
    <w:rsid w:val="007E3495"/>
    <w:rsid w:val="007E6518"/>
    <w:rsid w:val="007E7C0E"/>
    <w:rsid w:val="00805941"/>
    <w:rsid w:val="00813333"/>
    <w:rsid w:val="00817F64"/>
    <w:rsid w:val="008236D8"/>
    <w:rsid w:val="008272B5"/>
    <w:rsid w:val="00831E72"/>
    <w:rsid w:val="00840BA4"/>
    <w:rsid w:val="00841556"/>
    <w:rsid w:val="0084403A"/>
    <w:rsid w:val="00846040"/>
    <w:rsid w:val="008465F8"/>
    <w:rsid w:val="0085014B"/>
    <w:rsid w:val="00851769"/>
    <w:rsid w:val="00855C82"/>
    <w:rsid w:val="00864C42"/>
    <w:rsid w:val="008663B5"/>
    <w:rsid w:val="00872895"/>
    <w:rsid w:val="00885CF0"/>
    <w:rsid w:val="00890D6B"/>
    <w:rsid w:val="008A149B"/>
    <w:rsid w:val="008A1A86"/>
    <w:rsid w:val="008A3DB2"/>
    <w:rsid w:val="008B727C"/>
    <w:rsid w:val="008B745E"/>
    <w:rsid w:val="008C0185"/>
    <w:rsid w:val="008D265D"/>
    <w:rsid w:val="008D703F"/>
    <w:rsid w:val="008E6A49"/>
    <w:rsid w:val="008E6CC9"/>
    <w:rsid w:val="008F5891"/>
    <w:rsid w:val="009060A4"/>
    <w:rsid w:val="0090628C"/>
    <w:rsid w:val="0090679C"/>
    <w:rsid w:val="0093102D"/>
    <w:rsid w:val="00931A96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2169"/>
    <w:rsid w:val="00A2378E"/>
    <w:rsid w:val="00A3087D"/>
    <w:rsid w:val="00A3153D"/>
    <w:rsid w:val="00A31AD4"/>
    <w:rsid w:val="00A33112"/>
    <w:rsid w:val="00A35F42"/>
    <w:rsid w:val="00A420E3"/>
    <w:rsid w:val="00A4688D"/>
    <w:rsid w:val="00A46B8E"/>
    <w:rsid w:val="00A55717"/>
    <w:rsid w:val="00A60CF6"/>
    <w:rsid w:val="00A73757"/>
    <w:rsid w:val="00A76E31"/>
    <w:rsid w:val="00A8265E"/>
    <w:rsid w:val="00A86039"/>
    <w:rsid w:val="00A86D3F"/>
    <w:rsid w:val="00A91163"/>
    <w:rsid w:val="00A972C8"/>
    <w:rsid w:val="00A979A4"/>
    <w:rsid w:val="00AA124F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07AFA"/>
    <w:rsid w:val="00B1121A"/>
    <w:rsid w:val="00B22E37"/>
    <w:rsid w:val="00B26372"/>
    <w:rsid w:val="00B33305"/>
    <w:rsid w:val="00B40379"/>
    <w:rsid w:val="00B4304D"/>
    <w:rsid w:val="00B43697"/>
    <w:rsid w:val="00B43B10"/>
    <w:rsid w:val="00B56942"/>
    <w:rsid w:val="00B61380"/>
    <w:rsid w:val="00B62CB9"/>
    <w:rsid w:val="00B64DDC"/>
    <w:rsid w:val="00B73203"/>
    <w:rsid w:val="00B749A0"/>
    <w:rsid w:val="00B77DC7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1E5"/>
    <w:rsid w:val="00C3084B"/>
    <w:rsid w:val="00C47292"/>
    <w:rsid w:val="00C517FC"/>
    <w:rsid w:val="00C53A93"/>
    <w:rsid w:val="00C575F2"/>
    <w:rsid w:val="00C65430"/>
    <w:rsid w:val="00C6750B"/>
    <w:rsid w:val="00C825AA"/>
    <w:rsid w:val="00C8408D"/>
    <w:rsid w:val="00C969A2"/>
    <w:rsid w:val="00CA3344"/>
    <w:rsid w:val="00CA69F0"/>
    <w:rsid w:val="00CB570C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068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21E"/>
    <w:rsid w:val="00E41CF8"/>
    <w:rsid w:val="00E46B5A"/>
    <w:rsid w:val="00E503CD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2DBB"/>
    <w:rsid w:val="00E969A7"/>
    <w:rsid w:val="00EB3F3A"/>
    <w:rsid w:val="00EC51F1"/>
    <w:rsid w:val="00EC531C"/>
    <w:rsid w:val="00EC70B6"/>
    <w:rsid w:val="00EC75C6"/>
    <w:rsid w:val="00ED1E3A"/>
    <w:rsid w:val="00EF1438"/>
    <w:rsid w:val="00EF36DB"/>
    <w:rsid w:val="00EF77D5"/>
    <w:rsid w:val="00F07A8B"/>
    <w:rsid w:val="00F115EF"/>
    <w:rsid w:val="00F128CD"/>
    <w:rsid w:val="00F1300C"/>
    <w:rsid w:val="00F20FAC"/>
    <w:rsid w:val="00F31BD7"/>
    <w:rsid w:val="00F320E6"/>
    <w:rsid w:val="00F36615"/>
    <w:rsid w:val="00F42582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82334"/>
    <w:rsid w:val="00F93A6E"/>
    <w:rsid w:val="00F94545"/>
    <w:rsid w:val="00F9575A"/>
    <w:rsid w:val="00FA3039"/>
    <w:rsid w:val="00FA3652"/>
    <w:rsid w:val="00FA7A99"/>
    <w:rsid w:val="00FC6193"/>
    <w:rsid w:val="00FD1776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ZZYZ6ETXZ7ZF-1833563063-4473730</_dlc_DocId>
    <_dlc_DocIdUrl xmlns="cc240bed-3c1d-40e6-b61a-03885149955e">
      <Url>https://crmshare.cdt.cz/_layouts/15/DocIdRedir.aspx?ID=ZZYZ6ETXZ7ZF-1833563063-4473730</Url>
      <Description>ZZYZ6ETXZ7ZF-1833563063-4473730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C9CBF-7DF3-4608-9BE4-F2684D857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2E7FC-0E57-4C7D-93C4-06DD753B91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F9389A-4CFF-4EA5-A214-81296E80B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D2F89-1D71-4BDC-98C8-DB7B3EC9D781}">
  <ds:schemaRefs>
    <ds:schemaRef ds:uri="http://schemas.microsoft.com/office/2006/metadata/properties"/>
    <ds:schemaRef ds:uri="http://schemas.microsoft.com/office/infopath/2007/PartnerControls"/>
    <ds:schemaRef ds:uri="cc240bed-3c1d-40e6-b61a-03885149955e"/>
  </ds:schemaRefs>
</ds:datastoreItem>
</file>

<file path=customXml/itemProps5.xml><?xml version="1.0" encoding="utf-8"?>
<ds:datastoreItem xmlns:ds="http://schemas.openxmlformats.org/officeDocument/2006/customXml" ds:itemID="{D1E6BD50-EA12-4D2C-9423-45CFCDAB3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5</TotalTime>
  <Pages>7</Pages>
  <Words>3137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Ivana Vaněčková</cp:lastModifiedBy>
  <cp:revision>2</cp:revision>
  <cp:lastPrinted>2018-08-20T12:12:00Z</cp:lastPrinted>
  <dcterms:created xsi:type="dcterms:W3CDTF">2024-06-27T06:57:00Z</dcterms:created>
  <dcterms:modified xsi:type="dcterms:W3CDTF">2024-06-27T06:57:00Z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bdf2c4ba-5457-48e2-b348-e3c2d749a1b7</vt:lpwstr>
  </property>
</Properties>
</file>