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5211000143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Zbyslavice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Zbyslavice,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Dvoře</w:t>
      </w:r>
      <w:r>
        <w:rPr>
          <w:spacing w:val="-6"/>
        </w:rPr>
        <w:t> </w:t>
      </w:r>
      <w:r>
        <w:rPr/>
        <w:t>81,</w:t>
      </w:r>
      <w:r>
        <w:rPr>
          <w:spacing w:val="-5"/>
        </w:rPr>
        <w:t> </w:t>
      </w:r>
      <w:r>
        <w:rPr/>
        <w:t>742</w:t>
      </w:r>
      <w:r>
        <w:rPr>
          <w:spacing w:val="-3"/>
        </w:rPr>
        <w:t> </w:t>
      </w:r>
      <w:r>
        <w:rPr/>
        <w:t>83</w:t>
      </w:r>
      <w:r>
        <w:rPr>
          <w:spacing w:val="-5"/>
        </w:rPr>
        <w:t> </w:t>
      </w:r>
      <w:r>
        <w:rPr>
          <w:spacing w:val="-2"/>
        </w:rPr>
        <w:t>Zbyslavice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00600695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Regínou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3411761/0710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5211000143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32"/>
        <w:jc w:val="left"/>
      </w:pPr>
      <w:r>
        <w:rPr/>
        <w:t>„Akumulace</w:t>
      </w:r>
      <w:r>
        <w:rPr>
          <w:spacing w:val="-7"/>
        </w:rPr>
        <w:t> </w:t>
      </w:r>
      <w:r>
        <w:rPr/>
        <w:t>srážkové</w:t>
      </w:r>
      <w:r>
        <w:rPr>
          <w:spacing w:val="-5"/>
        </w:rPr>
        <w:t> </w:t>
      </w:r>
      <w:r>
        <w:rPr/>
        <w:t>vody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>
          <w:spacing w:val="-2"/>
        </w:rPr>
        <w:t>Zbyslavicích“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kombinovaná.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poskytována</w:t>
      </w:r>
      <w:r>
        <w:rPr>
          <w:spacing w:val="10"/>
          <w:sz w:val="20"/>
        </w:rPr>
        <w:t> </w:t>
      </w:r>
      <w:r>
        <w:rPr>
          <w:sz w:val="20"/>
        </w:rPr>
        <w:t>v 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0"/>
          <w:sz w:val="20"/>
        </w:rPr>
        <w:t> </w:t>
      </w:r>
      <w:r>
        <w:rPr>
          <w:sz w:val="20"/>
        </w:rPr>
        <w:t>„Nařízením</w:t>
      </w:r>
      <w:r>
        <w:rPr>
          <w:spacing w:val="11"/>
          <w:sz w:val="20"/>
        </w:rPr>
        <w:t> </w:t>
      </w:r>
      <w:r>
        <w:rPr>
          <w:sz w:val="20"/>
        </w:rPr>
        <w:t>Komise</w:t>
      </w:r>
      <w:r>
        <w:rPr>
          <w:spacing w:val="10"/>
          <w:sz w:val="20"/>
        </w:rPr>
        <w:t> </w:t>
      </w:r>
      <w:r>
        <w:rPr>
          <w:sz w:val="20"/>
        </w:rPr>
        <w:t>(ES)</w:t>
      </w:r>
      <w:r>
        <w:rPr>
          <w:spacing w:val="12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1407/2013</w:t>
      </w:r>
      <w:r>
        <w:rPr>
          <w:spacing w:val="12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jc w:val="left"/>
      </w:pPr>
      <w:r>
        <w:rPr/>
        <w:t>18. 12. 2013 o použití článků 107 a 108 Smlouvy o fungování Evropské unie na podporu de minimis“,</w:t>
      </w:r>
      <w:r>
        <w:rPr>
          <w:spacing w:val="40"/>
        </w:rPr>
        <w:t> </w:t>
      </w:r>
      <w:r>
        <w:rPr/>
        <w:t>zveřejněném v Úředním věstníku EU dne 24. 12. 2013.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376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239,06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sedmdesát šest tisíc dvě stě třicet devět korun českých a šest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činí</w:t>
      </w:r>
      <w:r>
        <w:rPr>
          <w:spacing w:val="-10"/>
          <w:sz w:val="20"/>
        </w:rPr>
        <w:t> </w:t>
      </w:r>
      <w:r>
        <w:rPr>
          <w:sz w:val="20"/>
        </w:rPr>
        <w:t>376</w:t>
      </w:r>
      <w:r>
        <w:rPr>
          <w:spacing w:val="-2"/>
          <w:sz w:val="20"/>
        </w:rPr>
        <w:t> </w:t>
      </w:r>
      <w:r>
        <w:rPr>
          <w:sz w:val="20"/>
        </w:rPr>
        <w:t>239,06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11"/>
          <w:sz w:val="20"/>
        </w:rPr>
        <w:t> </w:t>
      </w:r>
      <w:r>
        <w:rPr>
          <w:sz w:val="20"/>
        </w:rPr>
        <w:t>(z</w:t>
      </w:r>
      <w:r>
        <w:rPr>
          <w:spacing w:val="-9"/>
          <w:sz w:val="20"/>
        </w:rPr>
        <w:t> </w:t>
      </w:r>
      <w:r>
        <w:rPr>
          <w:sz w:val="20"/>
        </w:rPr>
        <w:t>toho</w:t>
      </w:r>
      <w:r>
        <w:rPr>
          <w:spacing w:val="-8"/>
          <w:sz w:val="20"/>
        </w:rPr>
        <w:t> </w:t>
      </w:r>
      <w:r>
        <w:rPr>
          <w:sz w:val="20"/>
        </w:rPr>
        <w:t>326</w:t>
      </w:r>
      <w:r>
        <w:rPr>
          <w:spacing w:val="-2"/>
          <w:sz w:val="20"/>
        </w:rPr>
        <w:t> </w:t>
      </w:r>
      <w:r>
        <w:rPr>
          <w:sz w:val="20"/>
        </w:rPr>
        <w:t>294,84</w:t>
      </w:r>
      <w:r>
        <w:rPr>
          <w:spacing w:val="-2"/>
          <w:sz w:val="20"/>
        </w:rPr>
        <w:t> </w:t>
      </w:r>
      <w:r>
        <w:rPr>
          <w:sz w:val="20"/>
        </w:rPr>
        <w:t>Kč</w:t>
      </w:r>
      <w:r>
        <w:rPr>
          <w:spacing w:val="-11"/>
          <w:sz w:val="20"/>
        </w:rPr>
        <w:t> </w:t>
      </w:r>
      <w:r>
        <w:rPr>
          <w:sz w:val="20"/>
        </w:rPr>
        <w:t>odpovídá</w:t>
      </w:r>
      <w:r>
        <w:rPr>
          <w:spacing w:val="-11"/>
          <w:sz w:val="20"/>
        </w:rPr>
        <w:t> </w:t>
      </w:r>
      <w:r>
        <w:rPr>
          <w:sz w:val="20"/>
        </w:rPr>
        <w:t>investičním</w:t>
      </w:r>
      <w:r>
        <w:rPr>
          <w:spacing w:val="-9"/>
          <w:sz w:val="20"/>
        </w:rPr>
        <w:t> </w:t>
      </w:r>
      <w:r>
        <w:rPr>
          <w:sz w:val="20"/>
        </w:rPr>
        <w:t>výdajům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49</w:t>
      </w:r>
      <w:r>
        <w:rPr>
          <w:spacing w:val="-2"/>
          <w:sz w:val="20"/>
        </w:rPr>
        <w:t> </w:t>
      </w:r>
      <w:r>
        <w:rPr>
          <w:sz w:val="20"/>
        </w:rPr>
        <w:t>944,22</w:t>
      </w:r>
      <w:r>
        <w:rPr>
          <w:spacing w:val="-2"/>
          <w:sz w:val="20"/>
        </w:rPr>
        <w:t> </w:t>
      </w:r>
      <w:r>
        <w:rPr>
          <w:sz w:val="20"/>
        </w:rPr>
        <w:t>Kč</w:t>
      </w:r>
      <w:r>
        <w:rPr>
          <w:spacing w:val="-11"/>
          <w:sz w:val="20"/>
        </w:rPr>
        <w:t> </w:t>
      </w:r>
      <w:r>
        <w:rPr>
          <w:sz w:val="20"/>
        </w:rPr>
        <w:t>odpovídá neinvestičním výdajům).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0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02"/>
      </w:tblGrid>
      <w:tr>
        <w:trPr>
          <w:trHeight w:val="506" w:hRule="atLeast"/>
        </w:trPr>
        <w:tc>
          <w:tcPr>
            <w:tcW w:w="4107" w:type="dxa"/>
          </w:tcPr>
          <w:p>
            <w:pPr>
              <w:pStyle w:val="TableParagraph"/>
              <w:spacing w:before="120"/>
              <w:ind w:left="1773" w:right="176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302" w:type="dxa"/>
          </w:tcPr>
          <w:p>
            <w:pPr>
              <w:pStyle w:val="TableParagraph"/>
              <w:spacing w:before="120"/>
              <w:ind w:left="1651" w:right="16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107" w:type="dxa"/>
          </w:tcPr>
          <w:p>
            <w:pPr>
              <w:pStyle w:val="TableParagraph"/>
              <w:spacing w:before="120"/>
              <w:ind w:left="1772" w:right="17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302" w:type="dxa"/>
          </w:tcPr>
          <w:p>
            <w:pPr>
              <w:pStyle w:val="TableParagraph"/>
              <w:spacing w:before="120"/>
              <w:ind w:left="1655" w:right="1650"/>
              <w:jc w:val="center"/>
              <w:rPr>
                <w:sz w:val="20"/>
              </w:rPr>
            </w:pPr>
            <w:r>
              <w:rPr>
                <w:sz w:val="20"/>
              </w:rPr>
              <w:t>376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239,06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odsouhlasené</w:t>
      </w:r>
      <w:r>
        <w:rPr>
          <w:spacing w:val="-14"/>
          <w:sz w:val="20"/>
        </w:rPr>
        <w:t> </w:t>
      </w:r>
      <w:r>
        <w:rPr>
          <w:sz w:val="20"/>
        </w:rPr>
        <w:t>projektové</w:t>
      </w:r>
      <w:r>
        <w:rPr>
          <w:spacing w:val="-13"/>
          <w:sz w:val="20"/>
        </w:rPr>
        <w:t> </w:t>
      </w:r>
      <w:r>
        <w:rPr>
          <w:sz w:val="20"/>
        </w:rPr>
        <w:t>dokumentace,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2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předpokládaném</w:t>
      </w:r>
      <w:r>
        <w:rPr>
          <w:spacing w:val="-1"/>
          <w:sz w:val="20"/>
        </w:rPr>
        <w:t> </w:t>
      </w:r>
      <w:r>
        <w:rPr>
          <w:sz w:val="20"/>
        </w:rPr>
        <w:t>rozsahu,</w:t>
      </w:r>
      <w:r>
        <w:rPr>
          <w:spacing w:val="-2"/>
          <w:sz w:val="20"/>
        </w:rPr>
        <w:t> </w:t>
      </w:r>
      <w:r>
        <w:rPr>
          <w:sz w:val="20"/>
        </w:rPr>
        <w:t>tj.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vybudování akumulačních</w:t>
      </w:r>
      <w:r>
        <w:rPr>
          <w:spacing w:val="-2"/>
          <w:sz w:val="20"/>
        </w:rPr>
        <w:t> </w:t>
      </w:r>
      <w:r>
        <w:rPr>
          <w:sz w:val="20"/>
        </w:rPr>
        <w:t>nádrží</w:t>
      </w:r>
      <w:r>
        <w:rPr>
          <w:spacing w:val="-2"/>
          <w:sz w:val="20"/>
        </w:rPr>
        <w:t> </w:t>
      </w:r>
      <w:r>
        <w:rPr>
          <w:sz w:val="20"/>
        </w:rPr>
        <w:t>na dešťovou v obci a využití dešťové vody na zálivku přilehlých ploch,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 20,0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6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pozemcích,</w:t>
      </w:r>
      <w:r>
        <w:rPr>
          <w:spacing w:val="-14"/>
          <w:sz w:val="20"/>
        </w:rPr>
        <w:t> </w:t>
      </w:r>
      <w:r>
        <w:rPr>
          <w:sz w:val="20"/>
        </w:rPr>
        <w:t>jejichž</w:t>
      </w:r>
      <w:r>
        <w:rPr>
          <w:spacing w:val="-14"/>
          <w:sz w:val="20"/>
        </w:rPr>
        <w:t> </w:t>
      </w:r>
      <w:r>
        <w:rPr>
          <w:sz w:val="20"/>
        </w:rPr>
        <w:t>seznam</w:t>
      </w:r>
      <w:r>
        <w:rPr>
          <w:spacing w:val="-13"/>
          <w:sz w:val="20"/>
        </w:rPr>
        <w:t> </w:t>
      </w:r>
      <w:r>
        <w:rPr>
          <w:sz w:val="20"/>
        </w:rPr>
        <w:t>předložil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není-li</w:t>
      </w:r>
      <w:r>
        <w:rPr>
          <w:spacing w:val="-14"/>
          <w:sz w:val="20"/>
        </w:rPr>
        <w:t> </w:t>
      </w:r>
      <w:r>
        <w:rPr>
          <w:sz w:val="20"/>
        </w:rPr>
        <w:t>jejich vlastníkem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nájemcem,</w:t>
      </w:r>
      <w:r>
        <w:rPr>
          <w:spacing w:val="-6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disponuje</w:t>
      </w:r>
      <w:r>
        <w:rPr>
          <w:spacing w:val="-7"/>
          <w:sz w:val="20"/>
        </w:rPr>
        <w:t> </w:t>
      </w:r>
      <w:r>
        <w:rPr>
          <w:sz w:val="20"/>
        </w:rPr>
        <w:t>písemným</w:t>
      </w:r>
      <w:r>
        <w:rPr>
          <w:spacing w:val="-6"/>
          <w:sz w:val="20"/>
        </w:rPr>
        <w:t> </w:t>
      </w:r>
      <w:r>
        <w:rPr>
          <w:sz w:val="20"/>
        </w:rPr>
        <w:t>dokumentem,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vlastníci dotčených</w:t>
      </w:r>
      <w:r>
        <w:rPr>
          <w:spacing w:val="-1"/>
          <w:sz w:val="20"/>
        </w:rPr>
        <w:t> </w:t>
      </w:r>
      <w:r>
        <w:rPr>
          <w:sz w:val="20"/>
        </w:rPr>
        <w:t>pozemků vyslovili</w:t>
      </w:r>
      <w:r>
        <w:rPr>
          <w:spacing w:val="-2"/>
          <w:sz w:val="20"/>
        </w:rPr>
        <w:t> </w:t>
      </w:r>
      <w:r>
        <w:rPr>
          <w:sz w:val="20"/>
        </w:rPr>
        <w:t>souhlas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a zajištěním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 5</w:t>
      </w:r>
      <w:r>
        <w:rPr>
          <w:spacing w:val="-3"/>
          <w:sz w:val="20"/>
        </w:rPr>
        <w:t> </w:t>
      </w:r>
      <w:r>
        <w:rPr>
          <w:sz w:val="20"/>
        </w:rPr>
        <w:t>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předmět</w:t>
      </w:r>
      <w:r>
        <w:rPr>
          <w:spacing w:val="34"/>
          <w:sz w:val="20"/>
        </w:rPr>
        <w:t> </w:t>
      </w:r>
      <w:r>
        <w:rPr>
          <w:sz w:val="20"/>
        </w:rPr>
        <w:t>podpory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svoji</w:t>
      </w:r>
      <w:r>
        <w:rPr>
          <w:spacing w:val="35"/>
          <w:sz w:val="20"/>
        </w:rPr>
        <w:t> </w:t>
      </w:r>
      <w:r>
        <w:rPr>
          <w:sz w:val="20"/>
        </w:rPr>
        <w:t>funkci</w:t>
      </w:r>
      <w:r>
        <w:rPr>
          <w:spacing w:val="34"/>
          <w:sz w:val="20"/>
        </w:rPr>
        <w:t> </w:t>
      </w:r>
      <w:r>
        <w:rPr>
          <w:sz w:val="20"/>
        </w:rPr>
        <w:t>po</w:t>
      </w:r>
      <w:r>
        <w:rPr>
          <w:spacing w:val="37"/>
          <w:sz w:val="20"/>
        </w:rPr>
        <w:t> </w:t>
      </w:r>
      <w:r>
        <w:rPr>
          <w:sz w:val="20"/>
        </w:rPr>
        <w:t>dobu</w:t>
      </w:r>
      <w:r>
        <w:rPr>
          <w:spacing w:val="41"/>
          <w:sz w:val="20"/>
        </w:rPr>
        <w:t> </w:t>
      </w:r>
      <w:r>
        <w:rPr>
          <w:sz w:val="20"/>
        </w:rPr>
        <w:t>5</w:t>
      </w:r>
      <w:r>
        <w:rPr>
          <w:spacing w:val="36"/>
          <w:sz w:val="20"/>
        </w:rPr>
        <w:t> </w:t>
      </w:r>
      <w:r>
        <w:rPr>
          <w:sz w:val="20"/>
        </w:rPr>
        <w:t>let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ukončení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realizace</w:t>
      </w:r>
    </w:p>
    <w:p>
      <w:pPr>
        <w:pStyle w:val="BodyText"/>
        <w:ind w:left="1234"/>
      </w:pPr>
      <w:r>
        <w:rPr/>
        <w:t>projektu,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případě,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dojde</w:t>
      </w:r>
      <w:r>
        <w:rPr>
          <w:spacing w:val="-5"/>
        </w:rPr>
        <w:t> </w:t>
      </w:r>
      <w:r>
        <w:rPr/>
        <w:t>ke</w:t>
      </w:r>
      <w:r>
        <w:rPr>
          <w:spacing w:val="-6"/>
        </w:rPr>
        <w:t> </w:t>
      </w:r>
      <w:r>
        <w:rPr/>
        <w:t>změně</w:t>
      </w:r>
      <w:r>
        <w:rPr>
          <w:spacing w:val="-6"/>
        </w:rPr>
        <w:t> </w:t>
      </w:r>
      <w:r>
        <w:rPr/>
        <w:t>vlastníka</w:t>
      </w:r>
      <w:r>
        <w:rPr>
          <w:spacing w:val="-2"/>
        </w:rPr>
        <w:t> </w:t>
      </w:r>
      <w:r>
        <w:rPr/>
        <w:t>akcí</w:t>
      </w:r>
      <w:r>
        <w:rPr>
          <w:spacing w:val="-6"/>
        </w:rPr>
        <w:t> </w:t>
      </w:r>
      <w:r>
        <w:rPr/>
        <w:t>dotčených </w:t>
      </w:r>
      <w:r>
        <w:rPr>
          <w:spacing w:val="-2"/>
        </w:rPr>
        <w:t>pozemků,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33"/>
          <w:sz w:val="20"/>
        </w:rPr>
        <w:t> </w:t>
      </w:r>
      <w:r>
        <w:rPr>
          <w:sz w:val="20"/>
        </w:rPr>
        <w:t>evidenci</w:t>
      </w:r>
      <w:r>
        <w:rPr>
          <w:spacing w:val="32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2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8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</w:t>
      </w:r>
      <w:r>
        <w:rPr>
          <w:spacing w:val="-2"/>
          <w:sz w:val="20"/>
        </w:rPr>
        <w:t>zhotovitele, dodavatele nebo poskytovatele a subdodavatele, je-li konečným příjemcem finančních </w:t>
      </w:r>
      <w:r>
        <w:rPr>
          <w:sz w:val="20"/>
        </w:rPr>
        <w:t>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3" w:hanging="286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2" w:after="0"/>
        <w:ind w:left="1234" w:right="109" w:hanging="286"/>
        <w:jc w:val="both"/>
        <w:rPr>
          <w:sz w:val="20"/>
        </w:rPr>
      </w:pPr>
      <w:r>
        <w:rPr>
          <w:sz w:val="20"/>
        </w:rPr>
        <w:t>bude dodržen čl. 10 písm. n) Výzvy, t. j.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zásypů,</w:t>
      </w:r>
      <w:r>
        <w:rPr>
          <w:spacing w:val="-1"/>
          <w:sz w:val="20"/>
        </w:rPr>
        <w:t> </w:t>
      </w:r>
      <w:r>
        <w:rPr>
          <w:sz w:val="20"/>
        </w:rPr>
        <w:t>při</w:t>
      </w:r>
      <w:r>
        <w:rPr>
          <w:spacing w:val="-1"/>
          <w:sz w:val="20"/>
        </w:rPr>
        <w:t> </w:t>
      </w:r>
      <w:r>
        <w:rPr>
          <w:sz w:val="20"/>
        </w:rPr>
        <w:t>nichž jsou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materiály</w:t>
      </w:r>
      <w:r>
        <w:rPr>
          <w:spacing w:val="-1"/>
          <w:sz w:val="20"/>
        </w:rPr>
        <w:t> </w:t>
      </w:r>
      <w:r>
        <w:rPr>
          <w:sz w:val="20"/>
        </w:rPr>
        <w:t>nahrazeny</w:t>
      </w:r>
      <w:r>
        <w:rPr>
          <w:spacing w:val="-1"/>
          <w:sz w:val="20"/>
        </w:rPr>
        <w:t> </w:t>
      </w:r>
      <w:r>
        <w:rPr>
          <w:sz w:val="20"/>
        </w:rPr>
        <w:t>odpadem,</w:t>
      </w:r>
      <w:r>
        <w:rPr>
          <w:spacing w:val="-1"/>
          <w:sz w:val="20"/>
        </w:rPr>
        <w:t> </w:t>
      </w:r>
      <w:r>
        <w:rPr>
          <w:sz w:val="20"/>
        </w:rPr>
        <w:t>v souladu s hierarchií způsobů nakládání s odpady a protokolem EU pro nakládání se stavebním a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234"/>
      </w:pPr>
      <w:r>
        <w:rPr>
          <w:spacing w:val="-2"/>
        </w:rPr>
        <w:t>demoličním</w:t>
      </w:r>
      <w:r>
        <w:rPr>
          <w:spacing w:val="5"/>
        </w:rPr>
        <w:t> </w:t>
      </w:r>
      <w:r>
        <w:rPr>
          <w:spacing w:val="-2"/>
        </w:rPr>
        <w:t>odpadem,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termín dokončení akce do konce 7/2024 a o dodržení tohoto termínu Fond bez zbytečného odkladu informovat (za termín ukončení projektu se považuje datum protokolu o předání a převzetí díla u relevantních aktivit). Přitom se konstatuje, že akce byla zahájena v 10/2023,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1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10/2024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0"/>
          <w:sz w:val="20"/>
        </w:rPr>
        <w:t> </w:t>
      </w:r>
      <w:r>
        <w:rPr>
          <w:sz w:val="20"/>
        </w:rPr>
        <w:t>prostřednictvím</w:t>
      </w:r>
      <w:r>
        <w:rPr>
          <w:spacing w:val="23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0"/>
        <w:ind w:right="111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948" w:right="113"/>
      </w:pPr>
      <w:r>
        <w:rPr/>
        <w:t>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2"/>
          <w:sz w:val="20"/>
        </w:rPr>
        <w:t> </w:t>
      </w:r>
      <w:r>
        <w:rPr>
          <w:sz w:val="20"/>
        </w:rPr>
        <w:t>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3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</w:t>
      </w:r>
      <w:r>
        <w:rPr>
          <w:spacing w:val="27"/>
          <w:sz w:val="20"/>
        </w:rPr>
        <w:t> </w:t>
      </w:r>
      <w:r>
        <w:rPr>
          <w:sz w:val="20"/>
        </w:rPr>
        <w:t>Smlouvy</w:t>
      </w:r>
      <w:r>
        <w:rPr>
          <w:spacing w:val="24"/>
          <w:sz w:val="20"/>
        </w:rPr>
        <w:t> </w:t>
      </w:r>
      <w:r>
        <w:rPr>
          <w:sz w:val="20"/>
        </w:rPr>
        <w:t>může</w:t>
      </w:r>
      <w:r>
        <w:rPr>
          <w:spacing w:val="24"/>
          <w:sz w:val="20"/>
        </w:rPr>
        <w:t> </w:t>
      </w: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podmínit</w:t>
      </w:r>
      <w:r>
        <w:rPr>
          <w:spacing w:val="24"/>
          <w:sz w:val="20"/>
        </w:rPr>
        <w:t> </w:t>
      </w:r>
      <w:r>
        <w:rPr>
          <w:sz w:val="20"/>
        </w:rPr>
        <w:t>krácením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nepřiznáním</w:t>
      </w:r>
      <w:r>
        <w:rPr>
          <w:spacing w:val="26"/>
          <w:sz w:val="20"/>
        </w:rPr>
        <w:t> </w:t>
      </w:r>
      <w:r>
        <w:rPr>
          <w:sz w:val="20"/>
        </w:rPr>
        <w:t>nároku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zbývající</w:t>
      </w:r>
      <w:r>
        <w:rPr>
          <w:spacing w:val="25"/>
          <w:sz w:val="20"/>
        </w:rPr>
        <w:t> </w:t>
      </w:r>
      <w:r>
        <w:rPr>
          <w:sz w:val="20"/>
        </w:rPr>
        <w:t>část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jc w:val="left"/>
      </w:pPr>
      <w:r>
        <w:rPr/>
        <w:t>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49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9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2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5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8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9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2024-07-03T12:08:36Z</dcterms:created>
  <dcterms:modified xsi:type="dcterms:W3CDTF">2024-07-03T12:08:36Z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2024-07-03T00:00:00Z</vt:filetime>
  </property>
</Properties>
</file>