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AD91B" w14:textId="77777777" w:rsidR="007835B6" w:rsidRPr="00DA7E4F" w:rsidRDefault="007835B6" w:rsidP="002C610F"/>
    <w:p w14:paraId="5087D087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05579E4B" w14:textId="77777777" w:rsidR="00473099" w:rsidRDefault="00D82285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Plynové analyzátory 2024</w:t>
      </w:r>
    </w:p>
    <w:p w14:paraId="0D604F28" w14:textId="77777777" w:rsidR="00D82285" w:rsidRPr="006F6BBE" w:rsidRDefault="007A303D" w:rsidP="007A303D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Část 6</w:t>
      </w:r>
      <w:r w:rsidR="00D82285">
        <w:rPr>
          <w:rFonts w:ascii="Arial" w:hAnsi="Arial" w:cs="Arial"/>
          <w:b/>
          <w:smallCaps/>
          <w:spacing w:val="40"/>
          <w:sz w:val="28"/>
          <w:szCs w:val="28"/>
        </w:rPr>
        <w:t xml:space="preserve"> – </w:t>
      </w:r>
      <w:r>
        <w:rPr>
          <w:rFonts w:ascii="Arial" w:hAnsi="Arial" w:cs="Arial"/>
          <w:b/>
          <w:smallCaps/>
          <w:spacing w:val="40"/>
          <w:sz w:val="28"/>
          <w:szCs w:val="28"/>
        </w:rPr>
        <w:t>Přenosný analyzátor koncentrace skleníkových plynů</w:t>
      </w:r>
    </w:p>
    <w:p w14:paraId="42C975F1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45BE722C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362ED0BC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238"/>
        <w:gridCol w:w="957"/>
        <w:gridCol w:w="685"/>
        <w:gridCol w:w="578"/>
        <w:gridCol w:w="1452"/>
        <w:gridCol w:w="706"/>
        <w:gridCol w:w="422"/>
        <w:gridCol w:w="848"/>
        <w:gridCol w:w="815"/>
      </w:tblGrid>
      <w:tr w:rsidR="002B28A7" w:rsidRPr="006F6BBE" w14:paraId="2B9F00B7" w14:textId="77777777" w:rsidTr="001B00E6">
        <w:trPr>
          <w:trHeight w:val="434"/>
        </w:trPr>
        <w:tc>
          <w:tcPr>
            <w:tcW w:w="1384" w:type="dxa"/>
            <w:vAlign w:val="center"/>
          </w:tcPr>
          <w:p w14:paraId="3D0A9277" w14:textId="77777777" w:rsidR="002B28A7" w:rsidRPr="006F6BBE" w:rsidRDefault="002B28A7" w:rsidP="001B00E6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9A1B4B9" w14:textId="77777777" w:rsidR="002B28A7" w:rsidRPr="006F6BBE" w:rsidRDefault="002B28A7" w:rsidP="001B00E6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Ekotechnika s.r.o.</w:t>
            </w:r>
          </w:p>
        </w:tc>
      </w:tr>
      <w:tr w:rsidR="002B28A7" w:rsidRPr="006F6BBE" w14:paraId="39A1D8FE" w14:textId="77777777" w:rsidTr="001B00E6">
        <w:tc>
          <w:tcPr>
            <w:tcW w:w="1384" w:type="dxa"/>
            <w:vAlign w:val="center"/>
          </w:tcPr>
          <w:p w14:paraId="0DEB285A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1177BD32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 Třešňovce 700 Karlík 252 29</w:t>
            </w:r>
          </w:p>
        </w:tc>
      </w:tr>
      <w:tr w:rsidR="002B28A7" w:rsidRPr="006F6BBE" w14:paraId="1B77CEA3" w14:textId="77777777" w:rsidTr="001B00E6">
        <w:tc>
          <w:tcPr>
            <w:tcW w:w="1384" w:type="dxa"/>
            <w:vAlign w:val="center"/>
          </w:tcPr>
          <w:p w14:paraId="110E5A19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6EA3320B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25147501</w:t>
            </w:r>
          </w:p>
        </w:tc>
        <w:tc>
          <w:tcPr>
            <w:tcW w:w="578" w:type="dxa"/>
            <w:vAlign w:val="center"/>
          </w:tcPr>
          <w:p w14:paraId="05C3BC59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411D489F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CZ25147501</w:t>
            </w:r>
          </w:p>
        </w:tc>
      </w:tr>
      <w:tr w:rsidR="002B28A7" w:rsidRPr="006F6BBE" w14:paraId="62B9C8A8" w14:textId="77777777" w:rsidTr="001B00E6">
        <w:tc>
          <w:tcPr>
            <w:tcW w:w="1384" w:type="dxa"/>
            <w:vAlign w:val="center"/>
          </w:tcPr>
          <w:p w14:paraId="5E3EF2A5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zapsaná u</w:t>
            </w:r>
          </w:p>
        </w:tc>
        <w:tc>
          <w:tcPr>
            <w:tcW w:w="1286" w:type="dxa"/>
            <w:vAlign w:val="center"/>
          </w:tcPr>
          <w:p w14:paraId="2FEF7CF5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MS</w:t>
            </w:r>
          </w:p>
        </w:tc>
        <w:tc>
          <w:tcPr>
            <w:tcW w:w="969" w:type="dxa"/>
            <w:vAlign w:val="center"/>
          </w:tcPr>
          <w:p w14:paraId="119994C1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4BEC6A1B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47AF7E47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328C35EC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47FD6731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5F6C8F14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53570</w:t>
            </w:r>
          </w:p>
        </w:tc>
      </w:tr>
      <w:tr w:rsidR="002B28A7" w:rsidRPr="006F6BBE" w14:paraId="51CDE6CD" w14:textId="77777777" w:rsidTr="001B00E6">
        <w:tc>
          <w:tcPr>
            <w:tcW w:w="1384" w:type="dxa"/>
            <w:vAlign w:val="center"/>
          </w:tcPr>
          <w:p w14:paraId="0C53BF6F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03E3B61B" w14:textId="77777777" w:rsidR="002B28A7" w:rsidRPr="006F6BBE" w:rsidRDefault="002B28A7" w:rsidP="001B00E6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Arnošt Mráz CSc., MBA - jednatel</w:t>
            </w:r>
          </w:p>
        </w:tc>
      </w:tr>
    </w:tbl>
    <w:p w14:paraId="631C1AC4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83BB84E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61A5FC7" w14:textId="77777777" w:rsidR="00750C40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2CD92E29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2963A4A1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2CC9EB5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1EF147FE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57F080A2" w14:textId="77777777" w:rsidTr="003B0B43">
        <w:tc>
          <w:tcPr>
            <w:tcW w:w="1384" w:type="dxa"/>
            <w:vAlign w:val="center"/>
          </w:tcPr>
          <w:p w14:paraId="6EAF87A8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5EF429B2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6935EB0B" w14:textId="77777777" w:rsidTr="003B0B43">
        <w:tc>
          <w:tcPr>
            <w:tcW w:w="1384" w:type="dxa"/>
            <w:vAlign w:val="center"/>
          </w:tcPr>
          <w:p w14:paraId="4083A111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14C6D754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2B3F764D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3CAA3812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6C215B8A" w14:textId="77777777" w:rsidTr="003B0B43">
        <w:tc>
          <w:tcPr>
            <w:tcW w:w="1384" w:type="dxa"/>
            <w:vAlign w:val="center"/>
          </w:tcPr>
          <w:p w14:paraId="54870366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5A9A4A4D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7840F376" w14:textId="77777777" w:rsidTr="003B0B43">
        <w:tc>
          <w:tcPr>
            <w:tcW w:w="1384" w:type="dxa"/>
            <w:vAlign w:val="center"/>
          </w:tcPr>
          <w:p w14:paraId="56C1A8BB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E72E17A" w14:textId="77777777" w:rsidR="0049146C" w:rsidRPr="006F6BBE" w:rsidRDefault="00750C40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6EC8F684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2EA62183" w14:textId="77777777" w:rsidR="0005326E" w:rsidRDefault="0005326E" w:rsidP="00E837B7">
      <w:pPr>
        <w:rPr>
          <w:rFonts w:cs="Arial"/>
          <w:sz w:val="21"/>
          <w:szCs w:val="21"/>
        </w:rPr>
      </w:pPr>
    </w:p>
    <w:p w14:paraId="3660664C" w14:textId="77777777" w:rsidR="003C7DFA" w:rsidRPr="006F6BBE" w:rsidRDefault="003C7DFA" w:rsidP="00E837B7">
      <w:pPr>
        <w:rPr>
          <w:rFonts w:cs="Arial"/>
          <w:sz w:val="21"/>
          <w:szCs w:val="21"/>
        </w:rPr>
      </w:pPr>
    </w:p>
    <w:p w14:paraId="2B4144EE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01FE37B4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10ABB4AF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rovněž zavazuje odevzdat kupujícímu doklady, které se k věci vztahují.</w:t>
      </w:r>
    </w:p>
    <w:p w14:paraId="263F4B36" w14:textId="77777777" w:rsidR="00D775B3" w:rsidRDefault="00D775B3" w:rsidP="00D775B3">
      <w:pPr>
        <w:numPr>
          <w:ilvl w:val="1"/>
          <w:numId w:val="11"/>
        </w:numPr>
        <w:spacing w:before="0" w:after="0"/>
      </w:pPr>
      <w:r>
        <w:t>Předmět plnění je financován ze strukturálních fondů Evropské unie, OP Jan Amos Komenský, a to z projektu „</w:t>
      </w:r>
      <w:proofErr w:type="spellStart"/>
      <w:r>
        <w:t>CzeCOS</w:t>
      </w:r>
      <w:proofErr w:type="spellEnd"/>
      <w:r>
        <w:t xml:space="preserve">-BOOST: Modernizace a posílení velké výzkumné infrastruktury </w:t>
      </w:r>
      <w:proofErr w:type="spellStart"/>
      <w:r>
        <w:t>CzeCOS</w:t>
      </w:r>
      <w:proofErr w:type="spellEnd"/>
      <w:r>
        <w:t>“, registrační číslo projektu: CZ.02.01.01/00/23_015/0008207.</w:t>
      </w:r>
    </w:p>
    <w:p w14:paraId="6535127C" w14:textId="77777777" w:rsidR="00316D1B" w:rsidRPr="006F6BBE" w:rsidRDefault="00316D1B" w:rsidP="00D775B3">
      <w:pPr>
        <w:ind w:left="0" w:firstLine="0"/>
        <w:rPr>
          <w:rFonts w:cs="Arial"/>
          <w:sz w:val="21"/>
          <w:szCs w:val="21"/>
        </w:rPr>
      </w:pPr>
    </w:p>
    <w:p w14:paraId="4012FDE8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33A38579" w14:textId="77777777" w:rsidR="003374A3" w:rsidRPr="003E64C4" w:rsidRDefault="00C9276D" w:rsidP="007A303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3598F">
        <w:rPr>
          <w:rFonts w:cs="Arial"/>
          <w:sz w:val="21"/>
          <w:szCs w:val="21"/>
        </w:rPr>
        <w:t>Předmětem kou</w:t>
      </w:r>
      <w:r w:rsidRPr="003E64C4">
        <w:rPr>
          <w:rFonts w:cs="Arial"/>
          <w:sz w:val="21"/>
          <w:szCs w:val="21"/>
        </w:rPr>
        <w:t xml:space="preserve">pě </w:t>
      </w:r>
      <w:r w:rsidR="007A63E6">
        <w:rPr>
          <w:rFonts w:cs="Arial"/>
          <w:sz w:val="21"/>
          <w:szCs w:val="21"/>
        </w:rPr>
        <w:t>je</w:t>
      </w:r>
      <w:r w:rsidR="00825BA0">
        <w:rPr>
          <w:rFonts w:cs="Arial"/>
          <w:sz w:val="21"/>
          <w:szCs w:val="21"/>
        </w:rPr>
        <w:t xml:space="preserve"> </w:t>
      </w:r>
      <w:r w:rsidR="007A303D">
        <w:rPr>
          <w:rFonts w:cs="Arial"/>
          <w:sz w:val="21"/>
          <w:szCs w:val="21"/>
        </w:rPr>
        <w:t>přenosn</w:t>
      </w:r>
      <w:r w:rsidR="007A63E6">
        <w:rPr>
          <w:rFonts w:cs="Arial"/>
          <w:sz w:val="21"/>
          <w:szCs w:val="21"/>
        </w:rPr>
        <w:t>ý</w:t>
      </w:r>
      <w:r w:rsidR="007A303D" w:rsidRPr="007A303D">
        <w:rPr>
          <w:rFonts w:cs="Arial"/>
          <w:sz w:val="21"/>
          <w:szCs w:val="21"/>
        </w:rPr>
        <w:t xml:space="preserve"> analyzátor koncentrace CO</w:t>
      </w:r>
      <w:r w:rsidR="007A303D" w:rsidRPr="007A303D">
        <w:rPr>
          <w:rFonts w:cs="Arial"/>
          <w:sz w:val="21"/>
          <w:szCs w:val="21"/>
          <w:vertAlign w:val="subscript"/>
        </w:rPr>
        <w:t>2</w:t>
      </w:r>
      <w:r w:rsidR="007A303D" w:rsidRPr="007A303D">
        <w:rPr>
          <w:rFonts w:cs="Arial"/>
          <w:sz w:val="21"/>
          <w:szCs w:val="21"/>
        </w:rPr>
        <w:t>, CH</w:t>
      </w:r>
      <w:r w:rsidR="007A303D" w:rsidRPr="007A303D">
        <w:rPr>
          <w:rFonts w:cs="Arial"/>
          <w:sz w:val="21"/>
          <w:szCs w:val="21"/>
          <w:vertAlign w:val="subscript"/>
        </w:rPr>
        <w:t>4</w:t>
      </w:r>
      <w:r w:rsidR="007A303D" w:rsidRPr="007A303D">
        <w:rPr>
          <w:rFonts w:cs="Arial"/>
          <w:sz w:val="21"/>
          <w:szCs w:val="21"/>
        </w:rPr>
        <w:t xml:space="preserve"> a H</w:t>
      </w:r>
      <w:r w:rsidR="007A303D" w:rsidRPr="007A303D">
        <w:rPr>
          <w:rFonts w:cs="Arial"/>
          <w:sz w:val="21"/>
          <w:szCs w:val="21"/>
          <w:vertAlign w:val="subscript"/>
        </w:rPr>
        <w:t>2</w:t>
      </w:r>
      <w:r w:rsidR="007A303D" w:rsidRPr="007A303D">
        <w:rPr>
          <w:rFonts w:cs="Arial"/>
          <w:sz w:val="21"/>
          <w:szCs w:val="21"/>
        </w:rPr>
        <w:t>O pro komorová měření</w:t>
      </w:r>
      <w:r w:rsidR="00D82285">
        <w:rPr>
          <w:rFonts w:cs="Arial"/>
          <w:sz w:val="21"/>
          <w:szCs w:val="21"/>
        </w:rPr>
        <w:t xml:space="preserve"> (1 kus). </w:t>
      </w:r>
    </w:p>
    <w:p w14:paraId="234444C8" w14:textId="77777777" w:rsidR="00E453CA" w:rsidRDefault="00E453C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04B19">
        <w:rPr>
          <w:rFonts w:cs="Arial"/>
          <w:sz w:val="21"/>
          <w:szCs w:val="21"/>
        </w:rPr>
        <w:t>Předmět koupě splní technické parametry</w:t>
      </w:r>
      <w:r>
        <w:rPr>
          <w:rFonts w:cs="Arial"/>
          <w:sz w:val="21"/>
          <w:szCs w:val="21"/>
        </w:rPr>
        <w:t>, které jsou uvedeny v příloze č. 1 této smlouvy.</w:t>
      </w:r>
    </w:p>
    <w:p w14:paraId="0D0F6D9F" w14:textId="77777777" w:rsidR="006507DC" w:rsidRDefault="006507D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Příslušenství k předmětu koupě je uvedeno v příloze č. 1 této smlouvy.</w:t>
      </w:r>
    </w:p>
    <w:p w14:paraId="23ED32BF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5DC095E3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404310C3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67E6E6DF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2033F7A5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04B0275F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74E3245A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48F67D6B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33363AED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427F73C2" w14:textId="77777777" w:rsidR="00DE5A99" w:rsidRDefault="00DE5A99" w:rsidP="004C6EF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2E88B544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4D9EB8BC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5D21E5A1" w14:textId="77777777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4C6EF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nejpozději </w:t>
      </w:r>
      <w:r w:rsidRPr="00EF16B8">
        <w:rPr>
          <w:rFonts w:cs="Arial"/>
          <w:b/>
          <w:sz w:val="21"/>
          <w:szCs w:val="21"/>
        </w:rPr>
        <w:t xml:space="preserve">do </w:t>
      </w:r>
      <w:r w:rsidR="007A303D">
        <w:rPr>
          <w:rFonts w:cs="Arial"/>
          <w:b/>
          <w:sz w:val="21"/>
          <w:szCs w:val="21"/>
        </w:rPr>
        <w:t>20</w:t>
      </w:r>
      <w:r w:rsidR="007E5265">
        <w:rPr>
          <w:rFonts w:cs="Arial"/>
          <w:b/>
          <w:sz w:val="21"/>
          <w:szCs w:val="21"/>
        </w:rPr>
        <w:t xml:space="preserve"> týdnů od podpisu smlouvy</w:t>
      </w:r>
      <w:r w:rsidR="00192E96">
        <w:rPr>
          <w:rFonts w:cs="Arial"/>
          <w:b/>
          <w:sz w:val="21"/>
          <w:szCs w:val="21"/>
        </w:rPr>
        <w:t>.</w:t>
      </w:r>
    </w:p>
    <w:p w14:paraId="78732973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7E5265">
        <w:rPr>
          <w:rFonts w:cs="Arial"/>
          <w:sz w:val="21"/>
          <w:szCs w:val="21"/>
        </w:rPr>
        <w:t>.</w:t>
      </w:r>
    </w:p>
    <w:p w14:paraId="750A2A6B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  <w:r w:rsidRPr="006F6BBE">
        <w:rPr>
          <w:rFonts w:cs="Arial"/>
          <w:sz w:val="21"/>
          <w:szCs w:val="21"/>
        </w:rPr>
        <w:t xml:space="preserve"> </w:t>
      </w:r>
    </w:p>
    <w:p w14:paraId="220A3EA3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7E11BF1D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09DDBBD1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1A7AF335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 xml:space="preserve">ejpozději do </w:t>
      </w:r>
      <w:r w:rsidR="0034325A">
        <w:rPr>
          <w:rFonts w:cs="Arial"/>
          <w:sz w:val="21"/>
          <w:szCs w:val="21"/>
        </w:rPr>
        <w:t>10</w:t>
      </w:r>
      <w:r w:rsidR="00ED5992" w:rsidRPr="004C6EFA">
        <w:rPr>
          <w:rFonts w:cs="Arial"/>
          <w:sz w:val="21"/>
          <w:szCs w:val="21"/>
        </w:rPr>
        <w:t xml:space="preserve">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79D0E728" w14:textId="77777777" w:rsidR="00F9199E" w:rsidRPr="00796AB1" w:rsidRDefault="00B5522F" w:rsidP="00796A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5E40DE7E" w14:textId="77777777" w:rsidR="006507DC" w:rsidRPr="006F6BBE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79A47670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3560B1C1" w14:textId="638DBDD8" w:rsidR="005E7039" w:rsidRPr="00EE31E1" w:rsidRDefault="005E7039" w:rsidP="00EE31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EE31E1">
        <w:rPr>
          <w:rFonts w:cs="Arial"/>
          <w:sz w:val="21"/>
          <w:szCs w:val="21"/>
        </w:rPr>
        <w:t xml:space="preserve"> </w:t>
      </w:r>
      <w:r w:rsidR="006E5C90">
        <w:rPr>
          <w:rFonts w:cs="Arial"/>
          <w:sz w:val="21"/>
          <w:szCs w:val="21"/>
        </w:rPr>
        <w:t>1 1</w:t>
      </w:r>
      <w:r w:rsidR="00C6754F">
        <w:rPr>
          <w:rFonts w:cs="Arial"/>
          <w:sz w:val="21"/>
          <w:szCs w:val="21"/>
        </w:rPr>
        <w:t>4</w:t>
      </w:r>
      <w:r w:rsidR="006E5C90">
        <w:rPr>
          <w:rFonts w:cs="Arial"/>
          <w:sz w:val="21"/>
          <w:szCs w:val="21"/>
        </w:rPr>
        <w:t>3 519,-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b/>
          <w:sz w:val="21"/>
          <w:szCs w:val="21"/>
        </w:rPr>
        <w:t>Kč bez DPH</w:t>
      </w:r>
    </w:p>
    <w:p w14:paraId="599017BF" w14:textId="77777777" w:rsidR="00DE5A99" w:rsidRPr="006F6BBE" w:rsidRDefault="00DE5A99" w:rsidP="005E703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07EBE40A" w14:textId="77777777" w:rsidR="00DE5A99" w:rsidRPr="006F6BBE" w:rsidRDefault="00D23F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7F980B73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06FC4759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1749CB85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05116AE9" w14:textId="77777777" w:rsidR="00D775B3" w:rsidRPr="007F1BCE" w:rsidRDefault="00D775B3" w:rsidP="00D775B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Veškeré faktury budou mít náležitosti daňového dokladu</w:t>
      </w:r>
      <w:r>
        <w:rPr>
          <w:rFonts w:cs="Arial"/>
          <w:sz w:val="21"/>
          <w:szCs w:val="21"/>
        </w:rPr>
        <w:t xml:space="preserve"> a budou</w:t>
      </w:r>
      <w:r w:rsidRPr="008545A4">
        <w:rPr>
          <w:rFonts w:cs="Arial"/>
          <w:sz w:val="21"/>
          <w:szCs w:val="21"/>
        </w:rPr>
        <w:t xml:space="preserve"> obsahovat název a</w:t>
      </w:r>
      <w:r>
        <w:rPr>
          <w:rFonts w:cs="Arial"/>
          <w:sz w:val="21"/>
          <w:szCs w:val="21"/>
        </w:rPr>
        <w:t> </w:t>
      </w:r>
      <w:r w:rsidRPr="008545A4">
        <w:rPr>
          <w:rFonts w:cs="Arial"/>
          <w:sz w:val="21"/>
          <w:szCs w:val="21"/>
        </w:rPr>
        <w:t xml:space="preserve">registrační číslo projektu v podobě: </w:t>
      </w:r>
      <w:proofErr w:type="spellStart"/>
      <w:r>
        <w:t>CzeCOS</w:t>
      </w:r>
      <w:proofErr w:type="spellEnd"/>
      <w:r>
        <w:t xml:space="preserve">-BOOST: Modernizace a posílení velké výzkumné infrastruktury </w:t>
      </w:r>
      <w:proofErr w:type="spellStart"/>
      <w:r>
        <w:t>CzeCOS</w:t>
      </w:r>
      <w:proofErr w:type="spellEnd"/>
      <w:r>
        <w:t>“, registrační číslo projektu: CZ.02.01.01/00/23_015/0008207</w:t>
      </w:r>
      <w:r>
        <w:rPr>
          <w:rFonts w:cs="Arial"/>
          <w:sz w:val="21"/>
          <w:szCs w:val="21"/>
        </w:rPr>
        <w:t>, neurčí-li kupující jinak.</w:t>
      </w:r>
    </w:p>
    <w:p w14:paraId="083F2BF6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7A86427F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0BB202F1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47279451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</w:t>
      </w:r>
      <w:r w:rsidRPr="006659ED">
        <w:rPr>
          <w:rFonts w:cs="Arial"/>
          <w:sz w:val="21"/>
          <w:szCs w:val="21"/>
        </w:rPr>
        <w:t xml:space="preserve">nebo </w:t>
      </w:r>
    </w:p>
    <w:p w14:paraId="5471CD2D" w14:textId="77777777" w:rsidR="007E5265" w:rsidRP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v případě </w:t>
      </w:r>
      <w:r>
        <w:rPr>
          <w:rFonts w:cs="Arial"/>
          <w:sz w:val="21"/>
          <w:szCs w:val="21"/>
        </w:rPr>
        <w:t xml:space="preserve">jakékoliv </w:t>
      </w:r>
      <w:r w:rsidRPr="006659ED">
        <w:rPr>
          <w:rFonts w:cs="Arial"/>
          <w:sz w:val="21"/>
          <w:szCs w:val="21"/>
        </w:rPr>
        <w:t xml:space="preserve">pochybností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 xml:space="preserve">o tom, </w:t>
      </w:r>
      <w:r>
        <w:rPr>
          <w:rFonts w:cs="Arial"/>
          <w:sz w:val="21"/>
          <w:szCs w:val="21"/>
        </w:rPr>
        <w:t>zda 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je či nikoliv.</w:t>
      </w:r>
    </w:p>
    <w:p w14:paraId="2CD92AD0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224C43E2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62D4F22B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</w:t>
      </w:r>
      <w:r w:rsidR="00C9276D">
        <w:rPr>
          <w:rFonts w:cs="Arial"/>
          <w:sz w:val="21"/>
          <w:szCs w:val="21"/>
        </w:rPr>
        <w:t>sídla kupujícího 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E5B36E3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2C555F15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622D8071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06A56AC3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12FD6A0C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1EDA1279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2F0363B4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3014CFA0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296E01CC" w14:textId="6B9CF97E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7D5329" w:rsidRPr="007D5329">
        <w:rPr>
          <w:rFonts w:cs="Arial"/>
          <w:b/>
          <w:bCs/>
          <w:sz w:val="21"/>
          <w:szCs w:val="21"/>
        </w:rPr>
        <w:t>12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7C47AC53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64AAD55A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08C7B870" w14:textId="77777777" w:rsidR="00AF7BFD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="004A2A08">
        <w:rPr>
          <w:rFonts w:cs="Arial"/>
          <w:sz w:val="21"/>
          <w:szCs w:val="21"/>
        </w:rPr>
        <w:t xml:space="preserve">do </w:t>
      </w:r>
      <w:r w:rsidR="00EE31E1">
        <w:rPr>
          <w:rFonts w:cs="Arial"/>
          <w:sz w:val="21"/>
          <w:szCs w:val="21"/>
        </w:rPr>
        <w:t>20.</w:t>
      </w:r>
      <w:r w:rsidR="00BB6893">
        <w:rPr>
          <w:rFonts w:cs="Arial"/>
          <w:sz w:val="21"/>
          <w:szCs w:val="21"/>
        </w:rPr>
        <w:t xml:space="preserve"> pracovního dne</w:t>
      </w:r>
      <w:r w:rsidRPr="006F6BBE">
        <w:rPr>
          <w:rFonts w:cs="Arial"/>
          <w:sz w:val="21"/>
          <w:szCs w:val="21"/>
        </w:rPr>
        <w:t xml:space="preserve"> od</w:t>
      </w:r>
      <w:r w:rsidR="00D14FE1">
        <w:rPr>
          <w:rFonts w:cs="Arial"/>
          <w:sz w:val="21"/>
          <w:szCs w:val="21"/>
        </w:rPr>
        <w:t>e dne</w:t>
      </w:r>
      <w:r w:rsidRPr="006F6BBE">
        <w:rPr>
          <w:rFonts w:cs="Arial"/>
          <w:sz w:val="21"/>
          <w:szCs w:val="21"/>
        </w:rPr>
        <w:t xml:space="preserve"> vytknutí vady </w:t>
      </w:r>
      <w:r w:rsidR="006C7348">
        <w:rPr>
          <w:rFonts w:cs="Arial"/>
          <w:sz w:val="21"/>
          <w:szCs w:val="21"/>
        </w:rPr>
        <w:t>vadu odstraní, či předmět koupě vymění za bezvadný, a to v místě instalace předmětu koupě</w:t>
      </w:r>
      <w:r w:rsidR="00D01D00">
        <w:rPr>
          <w:rFonts w:cs="Arial"/>
          <w:sz w:val="21"/>
          <w:szCs w:val="21"/>
        </w:rPr>
        <w:t>, které se nachází v sídle kupujícího</w:t>
      </w:r>
      <w:r w:rsidRPr="006F6BBE">
        <w:rPr>
          <w:rFonts w:cs="Arial"/>
          <w:sz w:val="21"/>
          <w:szCs w:val="21"/>
        </w:rPr>
        <w:t>.</w:t>
      </w:r>
    </w:p>
    <w:p w14:paraId="70FB52E3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74A7C320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62F59BC8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</w:t>
      </w:r>
      <w:r w:rsidR="00EE31E1">
        <w:rPr>
          <w:rFonts w:cs="Arial"/>
          <w:b/>
          <w:sz w:val="21"/>
          <w:szCs w:val="21"/>
        </w:rPr>
        <w:t>4</w:t>
      </w:r>
      <w:r w:rsidR="006F29AC" w:rsidRPr="006F6BBE">
        <w:rPr>
          <w:rFonts w:cs="Arial"/>
          <w:b/>
          <w:sz w:val="21"/>
          <w:szCs w:val="21"/>
        </w:rPr>
        <w:t xml:space="preserve">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03663CEC" w14:textId="77777777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7A303D">
        <w:rPr>
          <w:rFonts w:cs="Arial"/>
          <w:b/>
          <w:sz w:val="21"/>
          <w:szCs w:val="21"/>
        </w:rPr>
        <w:t>2.2</w:t>
      </w:r>
      <w:r w:rsidR="004A2A08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043BE77B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092C0093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781EC54A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4F83A96F" w14:textId="77777777" w:rsidR="00473099" w:rsidRPr="00473099" w:rsidRDefault="00473099" w:rsidP="0047309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0907E36A" w14:textId="77777777" w:rsidR="007E5265" w:rsidRP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0EAC160E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7AD6C191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1BCCD782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1C74453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338FD7D3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30577DC3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27807FF4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07B96C84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6F84B242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50B7718E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288C3DDD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272E02A1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2B27AEEF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2C6ED580" w14:textId="77777777" w:rsidR="00106E4A" w:rsidRPr="003374A3" w:rsidRDefault="00332790" w:rsidP="003374A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3374A3">
        <w:rPr>
          <w:rFonts w:cs="Arial"/>
          <w:sz w:val="21"/>
          <w:szCs w:val="21"/>
        </w:rPr>
        <w:t>emná sankční odpovědnost stran.</w:t>
      </w:r>
    </w:p>
    <w:p w14:paraId="33015EB3" w14:textId="77777777" w:rsidR="00D01D00" w:rsidRDefault="00D01D00" w:rsidP="00DE5A99">
      <w:pPr>
        <w:rPr>
          <w:rFonts w:cs="Arial"/>
          <w:sz w:val="21"/>
          <w:szCs w:val="21"/>
        </w:rPr>
      </w:pPr>
    </w:p>
    <w:p w14:paraId="569AD2A4" w14:textId="77777777" w:rsidR="00DE439C" w:rsidRDefault="00DE439C" w:rsidP="00DE5A99">
      <w:pPr>
        <w:rPr>
          <w:rFonts w:cs="Arial"/>
          <w:sz w:val="21"/>
          <w:szCs w:val="21"/>
        </w:rPr>
      </w:pPr>
    </w:p>
    <w:p w14:paraId="0C8FC0B6" w14:textId="77777777" w:rsidR="00DE439C" w:rsidRDefault="00DE439C" w:rsidP="00DE5A99">
      <w:pPr>
        <w:rPr>
          <w:rFonts w:cs="Arial"/>
          <w:sz w:val="21"/>
          <w:szCs w:val="21"/>
        </w:rPr>
      </w:pPr>
    </w:p>
    <w:p w14:paraId="01E0C583" w14:textId="77777777" w:rsidR="00DE439C" w:rsidRPr="006F6BBE" w:rsidRDefault="00DE439C" w:rsidP="00DE5A99">
      <w:pPr>
        <w:rPr>
          <w:rFonts w:cs="Arial"/>
          <w:sz w:val="21"/>
          <w:szCs w:val="21"/>
        </w:rPr>
      </w:pPr>
    </w:p>
    <w:p w14:paraId="2705D954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Odpovědné osoby smluvních stran</w:t>
      </w:r>
    </w:p>
    <w:p w14:paraId="082C7962" w14:textId="77777777" w:rsidR="00F53CA8" w:rsidRPr="006F6BBE" w:rsidRDefault="00F53CA8" w:rsidP="00F53CA8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proofErr w:type="spellStart"/>
      <w:r>
        <w:rPr>
          <w:rFonts w:cs="Arial"/>
          <w:sz w:val="21"/>
          <w:szCs w:val="21"/>
        </w:rPr>
        <w:t>xxxxxxxxxxxxxx</w:t>
      </w:r>
      <w:proofErr w:type="spellEnd"/>
      <w:r>
        <w:rPr>
          <w:rFonts w:cs="Arial"/>
          <w:sz w:val="21"/>
          <w:szCs w:val="21"/>
        </w:rPr>
        <w:t xml:space="preserve">., </w:t>
      </w:r>
      <w:proofErr w:type="spellStart"/>
      <w:r>
        <w:rPr>
          <w:rFonts w:cs="Arial"/>
          <w:sz w:val="21"/>
          <w:szCs w:val="21"/>
        </w:rPr>
        <w:t>xxxxxxxxxxxxxx</w:t>
      </w:r>
      <w:proofErr w:type="spellEnd"/>
      <w:r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jednat, nemůže však smlouvu ani měnit ani ukončit.</w:t>
      </w:r>
    </w:p>
    <w:p w14:paraId="2D395349" w14:textId="77777777" w:rsidR="00F53CA8" w:rsidRPr="00D01D00" w:rsidRDefault="00F53CA8" w:rsidP="00F53CA8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proofErr w:type="spellStart"/>
      <w:r>
        <w:rPr>
          <w:rFonts w:cs="Arial"/>
          <w:sz w:val="21"/>
          <w:szCs w:val="21"/>
        </w:rPr>
        <w:t>xxxxxxxxxxxxxx</w:t>
      </w:r>
      <w:proofErr w:type="spellEnd"/>
      <w:r>
        <w:t xml:space="preserve"> </w:t>
      </w:r>
      <w:proofErr w:type="spellStart"/>
      <w:r>
        <w:rPr>
          <w:rFonts w:cs="Arial"/>
          <w:sz w:val="21"/>
          <w:szCs w:val="21"/>
        </w:rPr>
        <w:t>xxxxxxxxxxxxxx</w:t>
      </w:r>
      <w:proofErr w:type="spellEnd"/>
      <w:r>
        <w:rPr>
          <w:rFonts w:cs="Arial"/>
          <w:sz w:val="21"/>
          <w:szCs w:val="21"/>
        </w:rPr>
        <w:t>.</w:t>
      </w:r>
      <w:r w:rsidRPr="006F6BBE">
        <w:rPr>
          <w:rFonts w:cs="Arial"/>
          <w:sz w:val="21"/>
          <w:szCs w:val="21"/>
        </w:rPr>
        <w:t xml:space="preserve"> Tento zástupce prodávajícího může za prodávajícího v souvislosti s touto smlouvou jakkoliv jednat; nemůže však smlouvu ani měnit ani ukončit.</w:t>
      </w:r>
    </w:p>
    <w:p w14:paraId="73D037C2" w14:textId="77777777" w:rsidR="003E64C4" w:rsidRPr="006F6BBE" w:rsidRDefault="003E64C4" w:rsidP="00473099">
      <w:pPr>
        <w:ind w:left="0" w:firstLine="0"/>
        <w:rPr>
          <w:rFonts w:cs="Arial"/>
          <w:sz w:val="21"/>
          <w:szCs w:val="21"/>
        </w:rPr>
      </w:pPr>
    </w:p>
    <w:p w14:paraId="15F7F149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63F02EE5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1043FBEF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1B24B327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69F9A2E7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28EB598D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67D743B2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484CFCD3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4C8BF97A" w14:textId="77777777" w:rsidR="004640C0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30EE9A75" w14:textId="77777777" w:rsidR="00473099" w:rsidRDefault="0047309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zajistí po celou dobu </w:t>
      </w:r>
      <w:r>
        <w:rPr>
          <w:rFonts w:cs="Arial"/>
          <w:sz w:val="21"/>
          <w:szCs w:val="21"/>
        </w:rPr>
        <w:t>trvání smlouvy</w:t>
      </w:r>
      <w:r w:rsidRPr="0085473C">
        <w:rPr>
          <w:rFonts w:cs="Arial"/>
          <w:sz w:val="21"/>
          <w:szCs w:val="21"/>
        </w:rPr>
        <w:t>:</w:t>
      </w:r>
    </w:p>
    <w:p w14:paraId="4CA84BE0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 smlou</w:t>
      </w:r>
      <w:r>
        <w:rPr>
          <w:rFonts w:cs="Arial"/>
          <w:sz w:val="21"/>
          <w:szCs w:val="21"/>
        </w:rPr>
        <w:t>vy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6F73B440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>
        <w:rPr>
          <w:rFonts w:cs="Arial"/>
          <w:sz w:val="21"/>
          <w:szCs w:val="21"/>
        </w:rPr>
        <w:t> této smlouvy,</w:t>
      </w:r>
    </w:p>
    <w:p w14:paraId="44D70053" w14:textId="77777777" w:rsidR="00473099" w:rsidRP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07343A69" w14:textId="77777777" w:rsidR="000B0562" w:rsidRPr="006F6BBE" w:rsidRDefault="000B0562" w:rsidP="00DE5A99">
      <w:pPr>
        <w:rPr>
          <w:rFonts w:cs="Arial"/>
          <w:sz w:val="21"/>
          <w:szCs w:val="21"/>
        </w:rPr>
      </w:pPr>
    </w:p>
    <w:p w14:paraId="79B181D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29CF220C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0A59F377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37DDCC2F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2EF0A81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3772D220" w14:textId="77777777" w:rsidR="00B566F2" w:rsidRPr="00B566F2" w:rsidRDefault="00B566F2" w:rsidP="00473099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4AF3F89B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0C952A21" w14:textId="77777777" w:rsidR="00E453CA" w:rsidRDefault="00E453C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Nedílnou součástí této smlouvy je: </w:t>
      </w:r>
    </w:p>
    <w:p w14:paraId="517DE2F8" w14:textId="77777777" w:rsidR="00E453CA" w:rsidRPr="006F6BBE" w:rsidRDefault="00E453CA" w:rsidP="00E453C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Te</w:t>
      </w:r>
      <w:r w:rsidR="000719D9">
        <w:rPr>
          <w:rFonts w:cs="Arial"/>
          <w:sz w:val="21"/>
          <w:szCs w:val="21"/>
        </w:rPr>
        <w:t>chnické parametry</w:t>
      </w:r>
    </w:p>
    <w:p w14:paraId="657919A9" w14:textId="77777777" w:rsidR="00B566F2" w:rsidRPr="00473099" w:rsidRDefault="002218A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473099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71DA52DD" w14:textId="77777777" w:rsidR="00B566F2" w:rsidRDefault="00B566F2" w:rsidP="00B04B19">
      <w:pPr>
        <w:ind w:left="0" w:firstLine="0"/>
        <w:rPr>
          <w:rFonts w:cs="Arial"/>
          <w:sz w:val="21"/>
          <w:szCs w:val="21"/>
        </w:rPr>
      </w:pPr>
    </w:p>
    <w:p w14:paraId="5FA9ECC2" w14:textId="77777777" w:rsidR="007F726E" w:rsidRDefault="007F726E" w:rsidP="00B04B19">
      <w:pPr>
        <w:ind w:left="0" w:firstLine="0"/>
        <w:rPr>
          <w:rFonts w:cs="Arial"/>
          <w:sz w:val="21"/>
          <w:szCs w:val="21"/>
        </w:rPr>
      </w:pPr>
    </w:p>
    <w:p w14:paraId="14ECADB7" w14:textId="77777777" w:rsidR="00B566F2" w:rsidRPr="006F6BBE" w:rsidRDefault="00B566F2" w:rsidP="00B04B1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2B28A7" w:rsidRPr="006F6BBE" w14:paraId="16855BC9" w14:textId="77777777" w:rsidTr="001B00E6">
        <w:tc>
          <w:tcPr>
            <w:tcW w:w="4606" w:type="dxa"/>
            <w:vAlign w:val="center"/>
          </w:tcPr>
          <w:p w14:paraId="56D0F3C9" w14:textId="6CC563C3" w:rsidR="002B28A7" w:rsidRPr="006F6BBE" w:rsidRDefault="002B28A7" w:rsidP="001B00E6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>
              <w:rPr>
                <w:rFonts w:ascii="Arial" w:hAnsi="Arial" w:cs="Arial"/>
                <w:sz w:val="21"/>
                <w:szCs w:val="21"/>
              </w:rPr>
              <w:t>Karlíku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="00721E4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21E42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>. 2024</w:t>
            </w:r>
          </w:p>
        </w:tc>
        <w:tc>
          <w:tcPr>
            <w:tcW w:w="5000" w:type="dxa"/>
            <w:vAlign w:val="center"/>
          </w:tcPr>
          <w:p w14:paraId="2925499A" w14:textId="77777777" w:rsidR="002B28A7" w:rsidRPr="006F6BBE" w:rsidRDefault="002B28A7" w:rsidP="001B00E6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2B28A7" w:rsidRPr="006F6BBE" w14:paraId="1B9C5347" w14:textId="77777777" w:rsidTr="001B00E6">
        <w:trPr>
          <w:trHeight w:val="811"/>
        </w:trPr>
        <w:tc>
          <w:tcPr>
            <w:tcW w:w="4606" w:type="dxa"/>
            <w:vAlign w:val="center"/>
          </w:tcPr>
          <w:p w14:paraId="151EE266" w14:textId="77777777" w:rsidR="002B28A7" w:rsidRPr="006F6BBE" w:rsidRDefault="002B28A7" w:rsidP="001B00E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CE01541" w14:textId="77777777" w:rsidR="002B28A7" w:rsidRPr="006F6BBE" w:rsidRDefault="002B28A7" w:rsidP="001B00E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1E42" w:rsidRPr="006F6BBE" w14:paraId="4E273383" w14:textId="77777777" w:rsidTr="001B00E6">
        <w:trPr>
          <w:trHeight w:val="811"/>
        </w:trPr>
        <w:tc>
          <w:tcPr>
            <w:tcW w:w="4606" w:type="dxa"/>
            <w:vAlign w:val="center"/>
          </w:tcPr>
          <w:p w14:paraId="6F75D0BE" w14:textId="77777777" w:rsidR="00721E42" w:rsidRPr="006F6BBE" w:rsidRDefault="00721E42" w:rsidP="001B00E6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15D60269" w14:textId="77777777" w:rsidR="00721E42" w:rsidRPr="006F6BBE" w:rsidRDefault="00721E42" w:rsidP="001B00E6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21E42" w:rsidRPr="006F6BBE" w14:paraId="7761BA04" w14:textId="77777777" w:rsidTr="001B00E6">
        <w:trPr>
          <w:trHeight w:val="811"/>
        </w:trPr>
        <w:tc>
          <w:tcPr>
            <w:tcW w:w="4606" w:type="dxa"/>
            <w:vAlign w:val="center"/>
          </w:tcPr>
          <w:p w14:paraId="58F03798" w14:textId="77777777" w:rsidR="00721E42" w:rsidRPr="006F6BBE" w:rsidRDefault="00721E42" w:rsidP="001B00E6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12919DDC" w14:textId="77777777" w:rsidR="00721E42" w:rsidRPr="006F6BBE" w:rsidRDefault="00721E42" w:rsidP="001B00E6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21E42" w:rsidRPr="006F6BBE" w14:paraId="0FE73C1F" w14:textId="77777777" w:rsidTr="001B00E6">
        <w:trPr>
          <w:trHeight w:val="811"/>
        </w:trPr>
        <w:tc>
          <w:tcPr>
            <w:tcW w:w="4606" w:type="dxa"/>
            <w:vAlign w:val="center"/>
          </w:tcPr>
          <w:p w14:paraId="0CE69CF3" w14:textId="77777777" w:rsidR="00721E42" w:rsidRPr="006F6BBE" w:rsidRDefault="00721E42" w:rsidP="001B00E6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061FE029" w14:textId="77777777" w:rsidR="00721E42" w:rsidRPr="006F6BBE" w:rsidRDefault="00721E42" w:rsidP="001B00E6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2B28A7" w:rsidRPr="006F6BBE" w14:paraId="00A91E76" w14:textId="77777777" w:rsidTr="001B00E6">
        <w:tc>
          <w:tcPr>
            <w:tcW w:w="4606" w:type="dxa"/>
            <w:vAlign w:val="center"/>
          </w:tcPr>
          <w:p w14:paraId="57339D83" w14:textId="77777777" w:rsidR="002B28A7" w:rsidRPr="006F6BBE" w:rsidRDefault="002B28A7" w:rsidP="007D5329">
            <w:pPr>
              <w:spacing w:before="60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Arnošt Mráz CSc., MBA</w:t>
            </w:r>
          </w:p>
        </w:tc>
        <w:tc>
          <w:tcPr>
            <w:tcW w:w="5000" w:type="dxa"/>
            <w:vAlign w:val="center"/>
          </w:tcPr>
          <w:p w14:paraId="722E98CE" w14:textId="77777777" w:rsidR="002B28A7" w:rsidRPr="006F6BBE" w:rsidRDefault="002B28A7" w:rsidP="001B00E6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2B28A7" w:rsidRPr="006F6BBE" w14:paraId="0BC86231" w14:textId="77777777" w:rsidTr="001B00E6">
        <w:tc>
          <w:tcPr>
            <w:tcW w:w="4606" w:type="dxa"/>
            <w:vAlign w:val="center"/>
          </w:tcPr>
          <w:p w14:paraId="73023FA6" w14:textId="3962FE14" w:rsidR="002B28A7" w:rsidRPr="006F6BBE" w:rsidRDefault="007D5329" w:rsidP="007D5329">
            <w:pPr>
              <w:spacing w:before="60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j</w:t>
            </w:r>
            <w:r w:rsidR="002B28A7">
              <w:rPr>
                <w:rFonts w:ascii="Arial" w:hAnsi="Arial" w:cs="Arial"/>
                <w:sz w:val="21"/>
                <w:szCs w:val="21"/>
              </w:rPr>
              <w:t>ednatel společnosti</w:t>
            </w:r>
          </w:p>
        </w:tc>
        <w:tc>
          <w:tcPr>
            <w:tcW w:w="5000" w:type="dxa"/>
            <w:vAlign w:val="center"/>
          </w:tcPr>
          <w:p w14:paraId="3850B8A5" w14:textId="77777777" w:rsidR="002B28A7" w:rsidRPr="006F6BBE" w:rsidRDefault="002B28A7" w:rsidP="001B00E6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2B28A7" w:rsidRPr="006F6BBE" w14:paraId="34FB7C8E" w14:textId="77777777" w:rsidTr="001B00E6">
        <w:tc>
          <w:tcPr>
            <w:tcW w:w="4606" w:type="dxa"/>
            <w:vAlign w:val="center"/>
          </w:tcPr>
          <w:p w14:paraId="216BB9E2" w14:textId="5370B035" w:rsidR="002B28A7" w:rsidRPr="006F6BBE" w:rsidRDefault="007D5329" w:rsidP="007D5329">
            <w:pPr>
              <w:spacing w:before="60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="002B28A7">
              <w:rPr>
                <w:rFonts w:ascii="Arial" w:hAnsi="Arial" w:cs="Arial"/>
                <w:sz w:val="21"/>
                <w:szCs w:val="21"/>
              </w:rPr>
              <w:t>Ekotechnika s.r.o.</w:t>
            </w:r>
          </w:p>
        </w:tc>
        <w:tc>
          <w:tcPr>
            <w:tcW w:w="5000" w:type="dxa"/>
            <w:vAlign w:val="center"/>
          </w:tcPr>
          <w:p w14:paraId="3CC6E2E7" w14:textId="77777777" w:rsidR="002B28A7" w:rsidRPr="006F6BBE" w:rsidRDefault="002B28A7" w:rsidP="001B00E6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2EE615C0" w14:textId="77777777" w:rsidR="00F679CA" w:rsidRDefault="00F679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4BDD2923" w14:textId="77777777" w:rsidR="00B566F2" w:rsidRDefault="00B566F2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7E7FFB01" w14:textId="77777777" w:rsidR="00E453CA" w:rsidRDefault="00E453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lastRenderedPageBreak/>
        <w:t>Příloha č. 1: Te</w:t>
      </w:r>
      <w:r w:rsidR="000719D9">
        <w:rPr>
          <w:rFonts w:cs="Arial"/>
          <w:b/>
          <w:smallCaps/>
          <w:spacing w:val="32"/>
          <w:sz w:val="21"/>
          <w:szCs w:val="21"/>
        </w:rPr>
        <w:t>chnické parametry</w:t>
      </w:r>
    </w:p>
    <w:p w14:paraId="0ECD46A8" w14:textId="77777777" w:rsidR="00E453CA" w:rsidRDefault="00E453CA" w:rsidP="003C7FCD">
      <w:pPr>
        <w:ind w:left="0" w:firstLine="0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</w:t>
      </w:r>
      <w:r>
        <w:rPr>
          <w:rFonts w:cs="Arial"/>
          <w:b/>
          <w:bCs/>
          <w:color w:val="86B918"/>
        </w:rPr>
        <w:t>__</w:t>
      </w:r>
    </w:p>
    <w:p w14:paraId="741C6715" w14:textId="77777777" w:rsidR="003374A3" w:rsidRPr="00DE439C" w:rsidRDefault="003374A3" w:rsidP="00DE439C">
      <w:pPr>
        <w:ind w:left="0" w:firstLine="0"/>
        <w:jc w:val="left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Jednotlivé položky budou splňovat následující technické specifikace:</w:t>
      </w:r>
    </w:p>
    <w:p w14:paraId="00AB787C" w14:textId="77777777" w:rsidR="003374A3" w:rsidRPr="00DE439C" w:rsidRDefault="003374A3" w:rsidP="00DE439C">
      <w:pPr>
        <w:ind w:left="0" w:firstLine="0"/>
        <w:rPr>
          <w:rFonts w:cs="Arial"/>
          <w:sz w:val="21"/>
          <w:szCs w:val="21"/>
        </w:rPr>
      </w:pPr>
    </w:p>
    <w:p w14:paraId="4D39D73B" w14:textId="77777777" w:rsidR="003374A3" w:rsidRPr="00DE439C" w:rsidRDefault="007A303D" w:rsidP="00DE439C">
      <w:pPr>
        <w:pStyle w:val="Odstavecseseznamem"/>
        <w:numPr>
          <w:ilvl w:val="0"/>
          <w:numId w:val="35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>Přenosný analyzátor koncentrace CO</w:t>
      </w:r>
      <w:r w:rsidRPr="00DE439C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 w:rsidRPr="00DE439C">
        <w:rPr>
          <w:rFonts w:cs="Arial"/>
          <w:b/>
          <w:smallCaps/>
          <w:spacing w:val="32"/>
          <w:sz w:val="21"/>
          <w:szCs w:val="21"/>
        </w:rPr>
        <w:t>, CH</w:t>
      </w:r>
      <w:r w:rsidRPr="00DE439C">
        <w:rPr>
          <w:rFonts w:cs="Arial"/>
          <w:b/>
          <w:smallCaps/>
          <w:spacing w:val="32"/>
          <w:sz w:val="21"/>
          <w:szCs w:val="21"/>
          <w:vertAlign w:val="subscript"/>
        </w:rPr>
        <w:t>4</w:t>
      </w:r>
      <w:r w:rsidRPr="00DE439C">
        <w:rPr>
          <w:rFonts w:cs="Arial"/>
          <w:b/>
          <w:smallCaps/>
          <w:spacing w:val="32"/>
          <w:sz w:val="21"/>
          <w:szCs w:val="21"/>
        </w:rPr>
        <w:t xml:space="preserve"> a H</w:t>
      </w:r>
      <w:r w:rsidRPr="00DE439C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 w:rsidRPr="00DE439C">
        <w:rPr>
          <w:rFonts w:cs="Arial"/>
          <w:b/>
          <w:smallCaps/>
          <w:spacing w:val="32"/>
          <w:sz w:val="21"/>
          <w:szCs w:val="21"/>
        </w:rPr>
        <w:t>O pro komorová měření</w:t>
      </w:r>
      <w:r w:rsidR="00B15109" w:rsidRPr="00DE439C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3374A3" w:rsidRPr="00DE439C">
        <w:rPr>
          <w:rFonts w:cs="Arial"/>
          <w:b/>
          <w:smallCaps/>
          <w:spacing w:val="32"/>
          <w:sz w:val="21"/>
          <w:szCs w:val="21"/>
        </w:rPr>
        <w:t>(1 kus)</w:t>
      </w:r>
    </w:p>
    <w:p w14:paraId="3F02D664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6AE7851B" w14:textId="51714271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 xml:space="preserve">Výrobce: </w:t>
      </w:r>
      <w:r w:rsidR="007D5329" w:rsidRPr="007D5329">
        <w:rPr>
          <w:rFonts w:cs="Arial"/>
          <w:b/>
          <w:smallCaps/>
          <w:spacing w:val="32"/>
          <w:sz w:val="21"/>
          <w:szCs w:val="21"/>
        </w:rPr>
        <w:t>LI-COR Environmental</w:t>
      </w:r>
    </w:p>
    <w:p w14:paraId="4EEA4149" w14:textId="6B478105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 xml:space="preserve">Typ: </w:t>
      </w:r>
      <w:r w:rsidR="007D5329">
        <w:rPr>
          <w:rFonts w:cs="Arial"/>
          <w:b/>
          <w:smallCaps/>
          <w:spacing w:val="32"/>
          <w:sz w:val="21"/>
          <w:szCs w:val="21"/>
        </w:rPr>
        <w:t>LI-7810</w:t>
      </w:r>
    </w:p>
    <w:p w14:paraId="0BD77DB1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64FD9F8D" w14:textId="77777777" w:rsidR="007A303D" w:rsidRPr="00DE439C" w:rsidRDefault="007A303D" w:rsidP="00DE439C">
      <w:pPr>
        <w:ind w:left="0" w:firstLine="0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Obecný popis:</w:t>
      </w:r>
    </w:p>
    <w:p w14:paraId="70DEE386" w14:textId="77777777" w:rsidR="00DE439C" w:rsidRPr="00DE439C" w:rsidRDefault="00DE439C" w:rsidP="00DE439C">
      <w:pPr>
        <w:ind w:firstLine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Předmětem koupě je přenosný analyzátor plynu pro měření koncentrace CH</w:t>
      </w:r>
      <w:r w:rsidRPr="00DE439C">
        <w:rPr>
          <w:rFonts w:cs="Arial"/>
          <w:sz w:val="21"/>
          <w:szCs w:val="21"/>
          <w:vertAlign w:val="subscript"/>
        </w:rPr>
        <w:t>4</w:t>
      </w:r>
      <w:r w:rsidRPr="00DE439C">
        <w:rPr>
          <w:rFonts w:cs="Arial"/>
          <w:sz w:val="21"/>
          <w:szCs w:val="21"/>
        </w:rPr>
        <w:t>, CO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 a H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O. Je požadován analyzátor </w:t>
      </w:r>
      <w:r w:rsidRPr="00DE439C">
        <w:rPr>
          <w:rFonts w:eastAsia="Times New Roman" w:cs="Arial"/>
          <w:sz w:val="21"/>
          <w:szCs w:val="21"/>
          <w:lang w:eastAsia="cs-CZ"/>
        </w:rPr>
        <w:t>založený na absorpční spektroskopii se zpětnou optickou vazbou (OF-CEAS). M</w:t>
      </w:r>
      <w:r w:rsidRPr="00DE439C">
        <w:rPr>
          <w:rFonts w:cs="Arial"/>
          <w:color w:val="000000"/>
          <w:sz w:val="21"/>
          <w:szCs w:val="21"/>
        </w:rPr>
        <w:t xml:space="preserve">usí spolehlivě pracovat v terénu, musí mít odolné provedení, musí mít možnost napájení z akumulátorů s výdrží měření z baterie minimálně 8 hodin a umožnovat výměnu akumulátorů v terénu bez nutnosti přerušení měření. Hmotnost nesmí přesáhnout 13 kg.  </w:t>
      </w:r>
    </w:p>
    <w:p w14:paraId="31CB7CD3" w14:textId="77777777" w:rsidR="007A303D" w:rsidRPr="00DE439C" w:rsidRDefault="007A303D" w:rsidP="00DE439C">
      <w:pPr>
        <w:ind w:left="426" w:firstLine="0"/>
        <w:rPr>
          <w:rFonts w:eastAsia="Times New Roman" w:cs="Arial"/>
          <w:sz w:val="21"/>
          <w:szCs w:val="21"/>
          <w:lang w:eastAsia="cs-CZ"/>
        </w:rPr>
      </w:pPr>
      <w:r w:rsidRPr="00DE439C">
        <w:rPr>
          <w:rFonts w:eastAsia="Times New Roman" w:cs="Arial"/>
          <w:sz w:val="21"/>
          <w:szCs w:val="21"/>
          <w:lang w:eastAsia="cs-CZ"/>
        </w:rPr>
        <w:t xml:space="preserve"> </w:t>
      </w:r>
    </w:p>
    <w:p w14:paraId="668068EA" w14:textId="77777777" w:rsidR="007A303D" w:rsidRPr="00DE439C" w:rsidRDefault="007A303D" w:rsidP="00DE439C">
      <w:pPr>
        <w:ind w:left="0" w:firstLine="0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Technické parametry systému přenosných analyzátorů koncentrace CO</w:t>
      </w:r>
      <w:r w:rsidRPr="00DE439C">
        <w:rPr>
          <w:rFonts w:cs="Arial"/>
          <w:b/>
          <w:sz w:val="21"/>
          <w:szCs w:val="21"/>
          <w:vertAlign w:val="subscript"/>
        </w:rPr>
        <w:t>2</w:t>
      </w:r>
      <w:r w:rsidRPr="00DE439C">
        <w:rPr>
          <w:rFonts w:cs="Arial"/>
          <w:b/>
          <w:sz w:val="21"/>
          <w:szCs w:val="21"/>
        </w:rPr>
        <w:t>, CH</w:t>
      </w:r>
      <w:r w:rsidRPr="00DE439C">
        <w:rPr>
          <w:rFonts w:cs="Arial"/>
          <w:b/>
          <w:sz w:val="21"/>
          <w:szCs w:val="21"/>
          <w:vertAlign w:val="subscript"/>
        </w:rPr>
        <w:t>4</w:t>
      </w:r>
      <w:r w:rsidRPr="00DE439C">
        <w:rPr>
          <w:rFonts w:cs="Arial"/>
          <w:b/>
          <w:sz w:val="21"/>
          <w:szCs w:val="21"/>
        </w:rPr>
        <w:t xml:space="preserve"> a H</w:t>
      </w:r>
      <w:r w:rsidRPr="00DE439C">
        <w:rPr>
          <w:rFonts w:cs="Arial"/>
          <w:b/>
          <w:sz w:val="21"/>
          <w:szCs w:val="21"/>
          <w:vertAlign w:val="subscript"/>
        </w:rPr>
        <w:t>2</w:t>
      </w:r>
      <w:r w:rsidRPr="00DE439C">
        <w:rPr>
          <w:rFonts w:cs="Arial"/>
          <w:b/>
          <w:sz w:val="21"/>
          <w:szCs w:val="21"/>
        </w:rPr>
        <w:t xml:space="preserve">O pro komorová měření </w:t>
      </w:r>
    </w:p>
    <w:p w14:paraId="6745D709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Požadovaná technologie měření absorpční spektroskopie se zpětnou optickou vazbou.</w:t>
      </w:r>
    </w:p>
    <w:p w14:paraId="7D576209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Minimální rozsah měřených koncentrací CO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 0–10 000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>.</w:t>
      </w:r>
    </w:p>
    <w:p w14:paraId="1C58F772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Minimální rozsah měřených koncentrací CH</w:t>
      </w:r>
      <w:r w:rsidRPr="00DE439C">
        <w:rPr>
          <w:rFonts w:cs="Arial"/>
          <w:sz w:val="21"/>
          <w:szCs w:val="21"/>
          <w:vertAlign w:val="subscript"/>
        </w:rPr>
        <w:t>4</w:t>
      </w:r>
      <w:r w:rsidRPr="00DE439C">
        <w:rPr>
          <w:rFonts w:cs="Arial"/>
          <w:sz w:val="21"/>
          <w:szCs w:val="21"/>
        </w:rPr>
        <w:t xml:space="preserve"> 0–100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 xml:space="preserve">. </w:t>
      </w:r>
    </w:p>
    <w:p w14:paraId="1C1993C7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Minimální rozsah měřených koncentrací H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O 0–60 000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>.</w:t>
      </w:r>
    </w:p>
    <w:p w14:paraId="1C46F816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Přesnost měření koncentrace CO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 lepší než 1,7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 xml:space="preserve"> při koncentraci CO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 400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 xml:space="preserve"> s 5sekundovým průměrováním.</w:t>
      </w:r>
    </w:p>
    <w:p w14:paraId="69A81FB5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Přesnost měření koncentrace CH</w:t>
      </w:r>
      <w:r w:rsidRPr="00DE439C">
        <w:rPr>
          <w:rFonts w:cs="Arial"/>
          <w:sz w:val="21"/>
          <w:szCs w:val="21"/>
          <w:vertAlign w:val="subscript"/>
        </w:rPr>
        <w:t>4</w:t>
      </w:r>
      <w:r w:rsidRPr="00DE439C">
        <w:rPr>
          <w:rFonts w:cs="Arial"/>
          <w:sz w:val="21"/>
          <w:szCs w:val="21"/>
        </w:rPr>
        <w:t xml:space="preserve"> lepší než 0,3 </w:t>
      </w:r>
      <w:proofErr w:type="spellStart"/>
      <w:r w:rsidRPr="00DE439C">
        <w:rPr>
          <w:rFonts w:cs="Arial"/>
          <w:sz w:val="21"/>
          <w:szCs w:val="21"/>
        </w:rPr>
        <w:t>ppb</w:t>
      </w:r>
      <w:proofErr w:type="spellEnd"/>
      <w:r w:rsidRPr="00DE439C">
        <w:rPr>
          <w:rFonts w:cs="Arial"/>
          <w:sz w:val="21"/>
          <w:szCs w:val="21"/>
        </w:rPr>
        <w:t xml:space="preserve"> při koncentraci CH</w:t>
      </w:r>
      <w:r w:rsidRPr="00DE439C">
        <w:rPr>
          <w:rFonts w:cs="Arial"/>
          <w:sz w:val="21"/>
          <w:szCs w:val="21"/>
          <w:vertAlign w:val="subscript"/>
        </w:rPr>
        <w:t>4</w:t>
      </w:r>
      <w:r w:rsidRPr="00DE439C">
        <w:rPr>
          <w:rFonts w:cs="Arial"/>
          <w:sz w:val="21"/>
          <w:szCs w:val="21"/>
        </w:rPr>
        <w:t xml:space="preserve"> 2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 xml:space="preserve"> s 5sekundovým průměrováním. </w:t>
      </w:r>
    </w:p>
    <w:p w14:paraId="71D55A09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Přesnost měření koncentrace H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O lepší než 25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 xml:space="preserve"> při koncentraci H</w:t>
      </w:r>
      <w:r w:rsidRPr="00DE439C">
        <w:rPr>
          <w:rFonts w:cs="Arial"/>
          <w:sz w:val="21"/>
          <w:szCs w:val="21"/>
          <w:vertAlign w:val="subscript"/>
        </w:rPr>
        <w:t>2</w:t>
      </w:r>
      <w:r w:rsidRPr="00DE439C">
        <w:rPr>
          <w:rFonts w:cs="Arial"/>
          <w:sz w:val="21"/>
          <w:szCs w:val="21"/>
        </w:rPr>
        <w:t xml:space="preserve">O 10 000 </w:t>
      </w:r>
      <w:proofErr w:type="spellStart"/>
      <w:r w:rsidRPr="00DE439C">
        <w:rPr>
          <w:rFonts w:cs="Arial"/>
          <w:sz w:val="21"/>
          <w:szCs w:val="21"/>
        </w:rPr>
        <w:t>ppm</w:t>
      </w:r>
      <w:proofErr w:type="spellEnd"/>
      <w:r w:rsidRPr="00DE439C">
        <w:rPr>
          <w:rFonts w:cs="Arial"/>
          <w:sz w:val="21"/>
          <w:szCs w:val="21"/>
        </w:rPr>
        <w:t xml:space="preserve"> s 5sekundovým průměrováním. </w:t>
      </w:r>
    </w:p>
    <w:p w14:paraId="20EC1211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Hmotnost včetně baterií maximálně 13 kg.</w:t>
      </w:r>
    </w:p>
    <w:p w14:paraId="1B7DE753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 xml:space="preserve">Maximální rozměr 55 x 35 x 20 cm. </w:t>
      </w:r>
    </w:p>
    <w:p w14:paraId="48202A20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Možnost rozšíření systému pro měření minimálně 32 komor.</w:t>
      </w:r>
    </w:p>
    <w:p w14:paraId="14FCF8B3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 xml:space="preserve">Integrovaný displej zobrazující aktuální hodnoty měření a stavové informace o přístroji. </w:t>
      </w:r>
    </w:p>
    <w:p w14:paraId="47DDB428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Možnost dálkového přenosu dat a konektivita prostřednictvím Wi-Fi či Ethernetu.</w:t>
      </w:r>
    </w:p>
    <w:p w14:paraId="1F55472A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Minimální výdrž baterií při měření 8 hodin.</w:t>
      </w:r>
    </w:p>
    <w:p w14:paraId="2597C790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Možnost výměny baterie během měření.</w:t>
      </w:r>
    </w:p>
    <w:p w14:paraId="4ACFA6B8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Minimální frekvence měření 1 Hz.</w:t>
      </w:r>
    </w:p>
    <w:p w14:paraId="1B3BBEA8" w14:textId="77777777" w:rsidR="00DE439C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Minimální rozsah pracovních teplot -20 až + 42 °C.</w:t>
      </w:r>
    </w:p>
    <w:p w14:paraId="5E0DF664" w14:textId="77777777" w:rsidR="00A431BA" w:rsidRPr="00DE439C" w:rsidRDefault="00DE439C" w:rsidP="00DE439C">
      <w:pPr>
        <w:pStyle w:val="Odstavecseseznamem"/>
        <w:numPr>
          <w:ilvl w:val="0"/>
          <w:numId w:val="43"/>
        </w:numPr>
        <w:contextualSpacing w:val="0"/>
        <w:rPr>
          <w:rFonts w:cs="Arial"/>
          <w:sz w:val="21"/>
          <w:szCs w:val="21"/>
        </w:rPr>
      </w:pPr>
      <w:r w:rsidRPr="00DE439C">
        <w:rPr>
          <w:rFonts w:cs="Arial"/>
          <w:sz w:val="21"/>
          <w:szCs w:val="21"/>
        </w:rPr>
        <w:t>Součástí dodávky musí být uvedení do funkčního stavu v místě realizace a zaškolení v rozsahu potřebném pro osvojení všech funkcí pro minimálně 3 osoby.</w:t>
      </w:r>
    </w:p>
    <w:sectPr w:rsidR="00A431BA" w:rsidRPr="00DE439C" w:rsidSect="00E83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5FE69" w14:textId="77777777" w:rsidR="004B569D" w:rsidRDefault="004B569D" w:rsidP="00E837B7">
      <w:pPr>
        <w:spacing w:before="0" w:after="0"/>
      </w:pPr>
      <w:r>
        <w:separator/>
      </w:r>
    </w:p>
  </w:endnote>
  <w:endnote w:type="continuationSeparator" w:id="0">
    <w:p w14:paraId="62F2C901" w14:textId="77777777" w:rsidR="004B569D" w:rsidRDefault="004B569D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E2930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DDEDD78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9E325ED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2B28A7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2B28A7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579D3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716F5403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56F6F86A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2B28A7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2B28A7">
      <w:rPr>
        <w:rFonts w:cs="Arial"/>
        <w:bCs/>
        <w:noProof/>
      </w:rPr>
      <w:t>7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82D4F" w14:textId="77777777" w:rsidR="004B569D" w:rsidRDefault="004B569D" w:rsidP="00E837B7">
      <w:pPr>
        <w:spacing w:before="0" w:after="0"/>
      </w:pPr>
      <w:r>
        <w:separator/>
      </w:r>
    </w:p>
  </w:footnote>
  <w:footnote w:type="continuationSeparator" w:id="0">
    <w:p w14:paraId="7D462A40" w14:textId="77777777" w:rsidR="004B569D" w:rsidRDefault="004B569D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F175" w14:textId="77777777" w:rsidR="00B15109" w:rsidRPr="00EF16B8" w:rsidRDefault="00D82285" w:rsidP="00EF16B8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P</w:t>
    </w:r>
    <w:r w:rsidR="00283447">
      <w:rPr>
        <w:b/>
        <w:sz w:val="18"/>
        <w:szCs w:val="18"/>
      </w:rPr>
      <w:t xml:space="preserve">lynové </w:t>
    </w:r>
    <w:r w:rsidR="007A303D">
      <w:rPr>
        <w:b/>
        <w:sz w:val="18"/>
        <w:szCs w:val="18"/>
      </w:rPr>
      <w:t>analyzátory 2024 – Část 6</w:t>
    </w:r>
    <w:r>
      <w:rPr>
        <w:b/>
        <w:sz w:val="18"/>
        <w:szCs w:val="18"/>
      </w:rPr>
      <w:t xml:space="preserve"> – </w:t>
    </w:r>
    <w:r w:rsidR="00B15109">
      <w:rPr>
        <w:b/>
        <w:sz w:val="18"/>
        <w:szCs w:val="18"/>
      </w:rPr>
      <w:t>Př</w:t>
    </w:r>
    <w:r w:rsidR="007A303D">
      <w:rPr>
        <w:b/>
        <w:sz w:val="18"/>
        <w:szCs w:val="18"/>
      </w:rPr>
      <w:t>enosný analyzátor koncentrace skleníkových plynů</w:t>
    </w:r>
  </w:p>
  <w:p w14:paraId="3B110167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166F957A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1C217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5F092EE3" wp14:editId="7E589EDE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AFE00C" w14:textId="77777777" w:rsidR="00825BA0" w:rsidRDefault="00825BA0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28D393C6" wp14:editId="57D8E6C6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2F138" w14:textId="77777777" w:rsidR="00E837B7" w:rsidRDefault="00E837B7" w:rsidP="0049146C">
    <w:pPr>
      <w:pStyle w:val="Zhlav"/>
      <w:ind w:left="0" w:firstLine="0"/>
      <w:jc w:val="center"/>
      <w:rPr>
        <w:rFonts w:cs="Arial"/>
      </w:rPr>
    </w:pPr>
  </w:p>
  <w:p w14:paraId="155CC86A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2D3"/>
    <w:multiLevelType w:val="hybridMultilevel"/>
    <w:tmpl w:val="593E31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55B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2" w15:restartNumberingAfterBreak="0">
    <w:nsid w:val="1A4578C7"/>
    <w:multiLevelType w:val="hybridMultilevel"/>
    <w:tmpl w:val="7A2A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89B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8D3"/>
    <w:multiLevelType w:val="hybridMultilevel"/>
    <w:tmpl w:val="84DA3E0A"/>
    <w:lvl w:ilvl="0" w:tplc="AD4A63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237D"/>
    <w:multiLevelType w:val="hybridMultilevel"/>
    <w:tmpl w:val="3E9EBACE"/>
    <w:lvl w:ilvl="0" w:tplc="80BE6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A375B9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7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68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2B5285"/>
    <w:multiLevelType w:val="hybridMultilevel"/>
    <w:tmpl w:val="23CA770A"/>
    <w:lvl w:ilvl="0" w:tplc="1BFA87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6B78"/>
    <w:multiLevelType w:val="hybridMultilevel"/>
    <w:tmpl w:val="22CC4874"/>
    <w:lvl w:ilvl="0" w:tplc="62D4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6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D31035"/>
    <w:multiLevelType w:val="multilevel"/>
    <w:tmpl w:val="B59EF9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3A88429F"/>
    <w:multiLevelType w:val="hybridMultilevel"/>
    <w:tmpl w:val="29EEEBFE"/>
    <w:lvl w:ilvl="0" w:tplc="19BE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E11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3D22C6"/>
    <w:multiLevelType w:val="hybridMultilevel"/>
    <w:tmpl w:val="6A98DC14"/>
    <w:lvl w:ilvl="0" w:tplc="04050013">
      <w:start w:val="1"/>
      <w:numFmt w:val="upp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8" w15:restartNumberingAfterBreak="0">
    <w:nsid w:val="4A252269"/>
    <w:multiLevelType w:val="multilevel"/>
    <w:tmpl w:val="217E25BC"/>
    <w:numStyleLink w:val="Smlouvy"/>
  </w:abstractNum>
  <w:abstractNum w:abstractNumId="19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BFF3008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766F"/>
    <w:multiLevelType w:val="hybridMultilevel"/>
    <w:tmpl w:val="C71CF6E4"/>
    <w:lvl w:ilvl="0" w:tplc="62D4D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57D06"/>
    <w:multiLevelType w:val="hybridMultilevel"/>
    <w:tmpl w:val="498027AA"/>
    <w:lvl w:ilvl="0" w:tplc="E92A983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5847"/>
    <w:multiLevelType w:val="hybridMultilevel"/>
    <w:tmpl w:val="D88AC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F7E53"/>
    <w:multiLevelType w:val="hybridMultilevel"/>
    <w:tmpl w:val="3BDCD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36641"/>
    <w:multiLevelType w:val="hybridMultilevel"/>
    <w:tmpl w:val="24180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C95C7B"/>
    <w:multiLevelType w:val="hybridMultilevel"/>
    <w:tmpl w:val="9276319C"/>
    <w:lvl w:ilvl="0" w:tplc="F5B26FA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3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73B35FD5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36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88">
    <w:abstractNumId w:val="7"/>
  </w:num>
  <w:num w:numId="2" w16cid:durableId="1305309697">
    <w:abstractNumId w:val="19"/>
  </w:num>
  <w:num w:numId="3" w16cid:durableId="1496727801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93155461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771392660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2006126768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827621481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2132942330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1426074457">
    <w:abstractNumId w:val="32"/>
  </w:num>
  <w:num w:numId="10" w16cid:durableId="1192180826">
    <w:abstractNumId w:val="16"/>
  </w:num>
  <w:num w:numId="11" w16cid:durableId="1967009045">
    <w:abstractNumId w:val="34"/>
  </w:num>
  <w:num w:numId="12" w16cid:durableId="847213337">
    <w:abstractNumId w:val="17"/>
  </w:num>
  <w:num w:numId="13" w16cid:durableId="6056348">
    <w:abstractNumId w:val="18"/>
  </w:num>
  <w:num w:numId="14" w16cid:durableId="462038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8635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0523946">
    <w:abstractNumId w:val="33"/>
  </w:num>
  <w:num w:numId="17" w16cid:durableId="1415586877">
    <w:abstractNumId w:val="30"/>
  </w:num>
  <w:num w:numId="18" w16cid:durableId="2022774336">
    <w:abstractNumId w:val="36"/>
  </w:num>
  <w:num w:numId="19" w16cid:durableId="1052844529">
    <w:abstractNumId w:val="21"/>
  </w:num>
  <w:num w:numId="20" w16cid:durableId="331758040">
    <w:abstractNumId w:val="2"/>
  </w:num>
  <w:num w:numId="21" w16cid:durableId="1716420045">
    <w:abstractNumId w:val="26"/>
  </w:num>
  <w:num w:numId="22" w16cid:durableId="286132218">
    <w:abstractNumId w:val="14"/>
  </w:num>
  <w:num w:numId="23" w16cid:durableId="1867669152">
    <w:abstractNumId w:val="29"/>
  </w:num>
  <w:num w:numId="24" w16cid:durableId="1609921739">
    <w:abstractNumId w:val="28"/>
  </w:num>
  <w:num w:numId="25" w16cid:durableId="1509759733">
    <w:abstractNumId w:val="4"/>
  </w:num>
  <w:num w:numId="26" w16cid:durableId="1035472484">
    <w:abstractNumId w:val="9"/>
  </w:num>
  <w:num w:numId="27" w16cid:durableId="214656780">
    <w:abstractNumId w:val="11"/>
  </w:num>
  <w:num w:numId="28" w16cid:durableId="59987818">
    <w:abstractNumId w:val="22"/>
  </w:num>
  <w:num w:numId="29" w16cid:durableId="1218736664">
    <w:abstractNumId w:val="10"/>
  </w:num>
  <w:num w:numId="30" w16cid:durableId="1773552432">
    <w:abstractNumId w:val="8"/>
  </w:num>
  <w:num w:numId="31" w16cid:durableId="1107845426">
    <w:abstractNumId w:val="15"/>
  </w:num>
  <w:num w:numId="32" w16cid:durableId="1826044469">
    <w:abstractNumId w:val="27"/>
  </w:num>
  <w:num w:numId="33" w16cid:durableId="1394158705">
    <w:abstractNumId w:val="6"/>
  </w:num>
  <w:num w:numId="34" w16cid:durableId="1056201032">
    <w:abstractNumId w:val="12"/>
  </w:num>
  <w:num w:numId="35" w16cid:durableId="231281048">
    <w:abstractNumId w:val="0"/>
  </w:num>
  <w:num w:numId="36" w16cid:durableId="928194458">
    <w:abstractNumId w:val="35"/>
  </w:num>
  <w:num w:numId="37" w16cid:durableId="2107537172">
    <w:abstractNumId w:val="1"/>
  </w:num>
  <w:num w:numId="38" w16cid:durableId="1832452789">
    <w:abstractNumId w:val="20"/>
  </w:num>
  <w:num w:numId="39" w16cid:durableId="1581676326">
    <w:abstractNumId w:val="3"/>
  </w:num>
  <w:num w:numId="40" w16cid:durableId="1792044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4112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6586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7770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2"/>
    <w:rsid w:val="00010618"/>
    <w:rsid w:val="00016A93"/>
    <w:rsid w:val="00032BC1"/>
    <w:rsid w:val="000336A1"/>
    <w:rsid w:val="00041A90"/>
    <w:rsid w:val="0005326E"/>
    <w:rsid w:val="000608FD"/>
    <w:rsid w:val="00061533"/>
    <w:rsid w:val="000719D9"/>
    <w:rsid w:val="00085079"/>
    <w:rsid w:val="00090B69"/>
    <w:rsid w:val="000B0562"/>
    <w:rsid w:val="000B146D"/>
    <w:rsid w:val="000B2F72"/>
    <w:rsid w:val="00104399"/>
    <w:rsid w:val="0010510A"/>
    <w:rsid w:val="00106E4A"/>
    <w:rsid w:val="00110658"/>
    <w:rsid w:val="00110D2C"/>
    <w:rsid w:val="001122FD"/>
    <w:rsid w:val="001244D4"/>
    <w:rsid w:val="001468AC"/>
    <w:rsid w:val="001576F7"/>
    <w:rsid w:val="0017523F"/>
    <w:rsid w:val="00192E96"/>
    <w:rsid w:val="0019664E"/>
    <w:rsid w:val="001B445F"/>
    <w:rsid w:val="001C01CA"/>
    <w:rsid w:val="001C2981"/>
    <w:rsid w:val="001C45C8"/>
    <w:rsid w:val="001E57BC"/>
    <w:rsid w:val="001F5F10"/>
    <w:rsid w:val="00206064"/>
    <w:rsid w:val="00213072"/>
    <w:rsid w:val="002218A9"/>
    <w:rsid w:val="002266F4"/>
    <w:rsid w:val="0024072D"/>
    <w:rsid w:val="0025320E"/>
    <w:rsid w:val="002769BD"/>
    <w:rsid w:val="00277399"/>
    <w:rsid w:val="00283447"/>
    <w:rsid w:val="00290C01"/>
    <w:rsid w:val="00293780"/>
    <w:rsid w:val="002A10CE"/>
    <w:rsid w:val="002A4BE0"/>
    <w:rsid w:val="002B28A7"/>
    <w:rsid w:val="002B5980"/>
    <w:rsid w:val="002C610F"/>
    <w:rsid w:val="002D1D3E"/>
    <w:rsid w:val="002F0830"/>
    <w:rsid w:val="002F5266"/>
    <w:rsid w:val="002F5DC3"/>
    <w:rsid w:val="003013CD"/>
    <w:rsid w:val="00316D1B"/>
    <w:rsid w:val="0032134F"/>
    <w:rsid w:val="00322F8C"/>
    <w:rsid w:val="003271F6"/>
    <w:rsid w:val="00332790"/>
    <w:rsid w:val="003374A3"/>
    <w:rsid w:val="0034325A"/>
    <w:rsid w:val="00357108"/>
    <w:rsid w:val="0036166F"/>
    <w:rsid w:val="003756A3"/>
    <w:rsid w:val="00382D22"/>
    <w:rsid w:val="003A5567"/>
    <w:rsid w:val="003B0B43"/>
    <w:rsid w:val="003C2F63"/>
    <w:rsid w:val="003C74B6"/>
    <w:rsid w:val="003C7DFA"/>
    <w:rsid w:val="003C7FCD"/>
    <w:rsid w:val="003E64C4"/>
    <w:rsid w:val="003E6BE8"/>
    <w:rsid w:val="004054AA"/>
    <w:rsid w:val="00410FD5"/>
    <w:rsid w:val="00414754"/>
    <w:rsid w:val="00414D2E"/>
    <w:rsid w:val="0041559E"/>
    <w:rsid w:val="004218BE"/>
    <w:rsid w:val="004640C0"/>
    <w:rsid w:val="00473099"/>
    <w:rsid w:val="00474362"/>
    <w:rsid w:val="0049146C"/>
    <w:rsid w:val="00496F37"/>
    <w:rsid w:val="004A2A08"/>
    <w:rsid w:val="004B569D"/>
    <w:rsid w:val="004C6EFA"/>
    <w:rsid w:val="004D1689"/>
    <w:rsid w:val="004F78B5"/>
    <w:rsid w:val="00501564"/>
    <w:rsid w:val="00506F22"/>
    <w:rsid w:val="00517DEC"/>
    <w:rsid w:val="005211CC"/>
    <w:rsid w:val="00523539"/>
    <w:rsid w:val="00530B62"/>
    <w:rsid w:val="00544E72"/>
    <w:rsid w:val="0055374D"/>
    <w:rsid w:val="005579B0"/>
    <w:rsid w:val="00566424"/>
    <w:rsid w:val="0057367C"/>
    <w:rsid w:val="00575F0C"/>
    <w:rsid w:val="00576AC1"/>
    <w:rsid w:val="0058234D"/>
    <w:rsid w:val="00585453"/>
    <w:rsid w:val="005A0B7A"/>
    <w:rsid w:val="005A2C26"/>
    <w:rsid w:val="005A5AFA"/>
    <w:rsid w:val="005B1F68"/>
    <w:rsid w:val="005B2405"/>
    <w:rsid w:val="005B5DCF"/>
    <w:rsid w:val="005C3B19"/>
    <w:rsid w:val="005D529A"/>
    <w:rsid w:val="005D6BA1"/>
    <w:rsid w:val="005E7039"/>
    <w:rsid w:val="005F2A58"/>
    <w:rsid w:val="00600F3C"/>
    <w:rsid w:val="00647399"/>
    <w:rsid w:val="006507DC"/>
    <w:rsid w:val="006519C0"/>
    <w:rsid w:val="00665831"/>
    <w:rsid w:val="006702AA"/>
    <w:rsid w:val="00695CC2"/>
    <w:rsid w:val="006975AB"/>
    <w:rsid w:val="006A402E"/>
    <w:rsid w:val="006A62FE"/>
    <w:rsid w:val="006A63D7"/>
    <w:rsid w:val="006B69FB"/>
    <w:rsid w:val="006C30B5"/>
    <w:rsid w:val="006C6BFB"/>
    <w:rsid w:val="006C7348"/>
    <w:rsid w:val="006D532D"/>
    <w:rsid w:val="006D62AC"/>
    <w:rsid w:val="006E3BC2"/>
    <w:rsid w:val="006E5C90"/>
    <w:rsid w:val="006F29AC"/>
    <w:rsid w:val="006F6BBE"/>
    <w:rsid w:val="00700E21"/>
    <w:rsid w:val="007072A6"/>
    <w:rsid w:val="00707E75"/>
    <w:rsid w:val="00713A8B"/>
    <w:rsid w:val="00721E42"/>
    <w:rsid w:val="00723C1C"/>
    <w:rsid w:val="007332BF"/>
    <w:rsid w:val="00741692"/>
    <w:rsid w:val="00750C40"/>
    <w:rsid w:val="00751A33"/>
    <w:rsid w:val="00757735"/>
    <w:rsid w:val="00763415"/>
    <w:rsid w:val="007728D3"/>
    <w:rsid w:val="00773026"/>
    <w:rsid w:val="00773DE2"/>
    <w:rsid w:val="0077610A"/>
    <w:rsid w:val="00776499"/>
    <w:rsid w:val="007814F8"/>
    <w:rsid w:val="007835B6"/>
    <w:rsid w:val="00783BF2"/>
    <w:rsid w:val="0078474A"/>
    <w:rsid w:val="00792B2A"/>
    <w:rsid w:val="007950DA"/>
    <w:rsid w:val="00796AB1"/>
    <w:rsid w:val="007A2C39"/>
    <w:rsid w:val="007A303D"/>
    <w:rsid w:val="007A63E6"/>
    <w:rsid w:val="007B3B9A"/>
    <w:rsid w:val="007C0555"/>
    <w:rsid w:val="007C5100"/>
    <w:rsid w:val="007D5329"/>
    <w:rsid w:val="007D768E"/>
    <w:rsid w:val="007E5265"/>
    <w:rsid w:val="007F2FAB"/>
    <w:rsid w:val="007F726E"/>
    <w:rsid w:val="00806CE2"/>
    <w:rsid w:val="00823977"/>
    <w:rsid w:val="00823F98"/>
    <w:rsid w:val="00825909"/>
    <w:rsid w:val="00825BA0"/>
    <w:rsid w:val="008430F0"/>
    <w:rsid w:val="00847C32"/>
    <w:rsid w:val="00860B64"/>
    <w:rsid w:val="008822F5"/>
    <w:rsid w:val="008A1823"/>
    <w:rsid w:val="008A1898"/>
    <w:rsid w:val="008A2DD2"/>
    <w:rsid w:val="008A6EF1"/>
    <w:rsid w:val="008B040F"/>
    <w:rsid w:val="008C1CEB"/>
    <w:rsid w:val="008C513F"/>
    <w:rsid w:val="008D11D4"/>
    <w:rsid w:val="008D127B"/>
    <w:rsid w:val="008E31F1"/>
    <w:rsid w:val="0090102A"/>
    <w:rsid w:val="0090793E"/>
    <w:rsid w:val="0092214B"/>
    <w:rsid w:val="0094492F"/>
    <w:rsid w:val="00952B2B"/>
    <w:rsid w:val="00965FCA"/>
    <w:rsid w:val="00967CCB"/>
    <w:rsid w:val="009901F5"/>
    <w:rsid w:val="009B0C68"/>
    <w:rsid w:val="009B2F04"/>
    <w:rsid w:val="009B449A"/>
    <w:rsid w:val="009C189F"/>
    <w:rsid w:val="009D6CB9"/>
    <w:rsid w:val="009D7CFA"/>
    <w:rsid w:val="009E02FC"/>
    <w:rsid w:val="009E4287"/>
    <w:rsid w:val="00A17C78"/>
    <w:rsid w:val="00A2142F"/>
    <w:rsid w:val="00A431BA"/>
    <w:rsid w:val="00A47CF6"/>
    <w:rsid w:val="00A74B67"/>
    <w:rsid w:val="00A82B36"/>
    <w:rsid w:val="00A875AA"/>
    <w:rsid w:val="00A91FB1"/>
    <w:rsid w:val="00A9561E"/>
    <w:rsid w:val="00AB3A54"/>
    <w:rsid w:val="00AB4B83"/>
    <w:rsid w:val="00AC65A0"/>
    <w:rsid w:val="00AE1FAF"/>
    <w:rsid w:val="00AE5A30"/>
    <w:rsid w:val="00AF7BFD"/>
    <w:rsid w:val="00B024CF"/>
    <w:rsid w:val="00B04B19"/>
    <w:rsid w:val="00B113DB"/>
    <w:rsid w:val="00B12484"/>
    <w:rsid w:val="00B15109"/>
    <w:rsid w:val="00B15EAA"/>
    <w:rsid w:val="00B161F7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FC"/>
    <w:rsid w:val="00B74C17"/>
    <w:rsid w:val="00B85190"/>
    <w:rsid w:val="00B91746"/>
    <w:rsid w:val="00BB1BDE"/>
    <w:rsid w:val="00BB34AE"/>
    <w:rsid w:val="00BB6893"/>
    <w:rsid w:val="00BC0496"/>
    <w:rsid w:val="00BC7A71"/>
    <w:rsid w:val="00BE2F06"/>
    <w:rsid w:val="00BF4939"/>
    <w:rsid w:val="00C00D60"/>
    <w:rsid w:val="00C027E5"/>
    <w:rsid w:val="00C13288"/>
    <w:rsid w:val="00C30DD6"/>
    <w:rsid w:val="00C3247A"/>
    <w:rsid w:val="00C3598F"/>
    <w:rsid w:val="00C43618"/>
    <w:rsid w:val="00C43690"/>
    <w:rsid w:val="00C459DF"/>
    <w:rsid w:val="00C6754F"/>
    <w:rsid w:val="00C73BF4"/>
    <w:rsid w:val="00C85789"/>
    <w:rsid w:val="00C92309"/>
    <w:rsid w:val="00C9276D"/>
    <w:rsid w:val="00C94A2B"/>
    <w:rsid w:val="00CA2907"/>
    <w:rsid w:val="00CB02FF"/>
    <w:rsid w:val="00CB35F7"/>
    <w:rsid w:val="00CC3782"/>
    <w:rsid w:val="00CC5DB3"/>
    <w:rsid w:val="00CC6B14"/>
    <w:rsid w:val="00CD7F11"/>
    <w:rsid w:val="00CE3DDD"/>
    <w:rsid w:val="00D01D00"/>
    <w:rsid w:val="00D05A8A"/>
    <w:rsid w:val="00D14FE1"/>
    <w:rsid w:val="00D23F1A"/>
    <w:rsid w:val="00D36E39"/>
    <w:rsid w:val="00D554FA"/>
    <w:rsid w:val="00D643DA"/>
    <w:rsid w:val="00D775B3"/>
    <w:rsid w:val="00D82285"/>
    <w:rsid w:val="00DA7E4F"/>
    <w:rsid w:val="00DB6E45"/>
    <w:rsid w:val="00DC1641"/>
    <w:rsid w:val="00DD4560"/>
    <w:rsid w:val="00DD6DDF"/>
    <w:rsid w:val="00DE439C"/>
    <w:rsid w:val="00DE5A99"/>
    <w:rsid w:val="00DF22BF"/>
    <w:rsid w:val="00DF5157"/>
    <w:rsid w:val="00E03F3D"/>
    <w:rsid w:val="00E06AB3"/>
    <w:rsid w:val="00E154A6"/>
    <w:rsid w:val="00E17104"/>
    <w:rsid w:val="00E17210"/>
    <w:rsid w:val="00E17F49"/>
    <w:rsid w:val="00E36BDE"/>
    <w:rsid w:val="00E453CA"/>
    <w:rsid w:val="00E46D1A"/>
    <w:rsid w:val="00E5688A"/>
    <w:rsid w:val="00E64697"/>
    <w:rsid w:val="00E8036B"/>
    <w:rsid w:val="00E837B7"/>
    <w:rsid w:val="00E83B9E"/>
    <w:rsid w:val="00EA13EF"/>
    <w:rsid w:val="00ED0342"/>
    <w:rsid w:val="00ED5992"/>
    <w:rsid w:val="00EE31E1"/>
    <w:rsid w:val="00EF16B8"/>
    <w:rsid w:val="00F0035A"/>
    <w:rsid w:val="00F02F2D"/>
    <w:rsid w:val="00F06D9F"/>
    <w:rsid w:val="00F13677"/>
    <w:rsid w:val="00F1387A"/>
    <w:rsid w:val="00F239A6"/>
    <w:rsid w:val="00F416AE"/>
    <w:rsid w:val="00F50A74"/>
    <w:rsid w:val="00F51721"/>
    <w:rsid w:val="00F53CA8"/>
    <w:rsid w:val="00F57D05"/>
    <w:rsid w:val="00F641CA"/>
    <w:rsid w:val="00F679CA"/>
    <w:rsid w:val="00F715DC"/>
    <w:rsid w:val="00F74936"/>
    <w:rsid w:val="00F83476"/>
    <w:rsid w:val="00F9199E"/>
    <w:rsid w:val="00FA7027"/>
    <w:rsid w:val="00FB1436"/>
    <w:rsid w:val="00FB236F"/>
    <w:rsid w:val="00FB5247"/>
    <w:rsid w:val="00FB5FD6"/>
    <w:rsid w:val="00FC4953"/>
    <w:rsid w:val="00FE42D6"/>
    <w:rsid w:val="00FE6829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CD4B"/>
  <w15:docId w15:val="{207E9393-E609-456E-9DDD-F84E6862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5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1C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AD5B-40AA-42C3-8E2D-64022FBA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2125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Lenka Dusová</cp:lastModifiedBy>
  <cp:revision>3</cp:revision>
  <cp:lastPrinted>2024-05-20T13:20:00Z</cp:lastPrinted>
  <dcterms:created xsi:type="dcterms:W3CDTF">2024-07-02T08:44:00Z</dcterms:created>
  <dcterms:modified xsi:type="dcterms:W3CDTF">2024-07-03T11:17:00Z</dcterms:modified>
</cp:coreProperties>
</file>