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3CB3" w14:textId="77777777" w:rsidR="007835B6" w:rsidRPr="00DA7E4F" w:rsidRDefault="007835B6" w:rsidP="002C610F"/>
    <w:p w14:paraId="4B3259FF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5B3639A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2E00EE3A" w14:textId="77777777" w:rsidR="00D82285" w:rsidRPr="006F6BBE" w:rsidRDefault="001C01CA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2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>
        <w:rPr>
          <w:rFonts w:ascii="Arial" w:hAnsi="Arial" w:cs="Arial"/>
          <w:b/>
          <w:smallCaps/>
          <w:spacing w:val="40"/>
          <w:sz w:val="28"/>
          <w:szCs w:val="28"/>
        </w:rPr>
        <w:t>Přenosný analyzátor izotopového poměru</w:t>
      </w:r>
    </w:p>
    <w:p w14:paraId="74BFF465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030FB1EB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C293527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238"/>
        <w:gridCol w:w="957"/>
        <w:gridCol w:w="685"/>
        <w:gridCol w:w="578"/>
        <w:gridCol w:w="1452"/>
        <w:gridCol w:w="706"/>
        <w:gridCol w:w="422"/>
        <w:gridCol w:w="848"/>
        <w:gridCol w:w="815"/>
      </w:tblGrid>
      <w:tr w:rsidR="007F3398" w:rsidRPr="006F6BBE" w14:paraId="072EAFDD" w14:textId="77777777" w:rsidTr="001B00E6">
        <w:trPr>
          <w:trHeight w:val="434"/>
        </w:trPr>
        <w:tc>
          <w:tcPr>
            <w:tcW w:w="1384" w:type="dxa"/>
            <w:vAlign w:val="center"/>
          </w:tcPr>
          <w:p w14:paraId="23E8D62A" w14:textId="77777777" w:rsidR="007F3398" w:rsidRPr="006F6BBE" w:rsidRDefault="007F3398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366CCE2F" w14:textId="77777777" w:rsidR="007F3398" w:rsidRPr="006F6BBE" w:rsidRDefault="007F3398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7F3398" w:rsidRPr="006F6BBE" w14:paraId="25604752" w14:textId="77777777" w:rsidTr="001B00E6">
        <w:tc>
          <w:tcPr>
            <w:tcW w:w="1384" w:type="dxa"/>
            <w:vAlign w:val="center"/>
          </w:tcPr>
          <w:p w14:paraId="251D77B8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76869DCA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 Karlík 252 29</w:t>
            </w:r>
          </w:p>
        </w:tc>
      </w:tr>
      <w:tr w:rsidR="007F3398" w:rsidRPr="006F6BBE" w14:paraId="2C3E0678" w14:textId="77777777" w:rsidTr="001B00E6">
        <w:tc>
          <w:tcPr>
            <w:tcW w:w="1384" w:type="dxa"/>
            <w:vAlign w:val="center"/>
          </w:tcPr>
          <w:p w14:paraId="799CCEDB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0FB89EFF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38B864CB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14FF9684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7F3398" w:rsidRPr="006F6BBE" w14:paraId="3F8BE268" w14:textId="77777777" w:rsidTr="001B00E6">
        <w:tc>
          <w:tcPr>
            <w:tcW w:w="1384" w:type="dxa"/>
            <w:vAlign w:val="center"/>
          </w:tcPr>
          <w:p w14:paraId="628AEC21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06919338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</w:t>
            </w:r>
          </w:p>
        </w:tc>
        <w:tc>
          <w:tcPr>
            <w:tcW w:w="969" w:type="dxa"/>
            <w:vAlign w:val="center"/>
          </w:tcPr>
          <w:p w14:paraId="19C98E08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645A95B5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022E2191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3ECA5EDD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74A61E0C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23DBBA6E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7F3398" w:rsidRPr="006F6BBE" w14:paraId="1D815C15" w14:textId="77777777" w:rsidTr="001B00E6">
        <w:tc>
          <w:tcPr>
            <w:tcW w:w="1384" w:type="dxa"/>
            <w:vAlign w:val="center"/>
          </w:tcPr>
          <w:p w14:paraId="74797E74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73F51DB3" w14:textId="77777777" w:rsidR="007F3398" w:rsidRPr="006F6BBE" w:rsidRDefault="007F3398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 - jednatel</w:t>
            </w:r>
          </w:p>
        </w:tc>
      </w:tr>
    </w:tbl>
    <w:p w14:paraId="06B65571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1BF8924A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2A10EA3D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65F6F95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2678598E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4EC7FD2E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6948BC9A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06BB3A94" w14:textId="77777777" w:rsidTr="003B0B43">
        <w:tc>
          <w:tcPr>
            <w:tcW w:w="1384" w:type="dxa"/>
            <w:vAlign w:val="center"/>
          </w:tcPr>
          <w:p w14:paraId="72106ED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B79B25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27304843" w14:textId="77777777" w:rsidTr="003B0B43">
        <w:tc>
          <w:tcPr>
            <w:tcW w:w="1384" w:type="dxa"/>
            <w:vAlign w:val="center"/>
          </w:tcPr>
          <w:p w14:paraId="57C2EF32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C5F2A2D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19E1F87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D0580F1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7450A103" w14:textId="77777777" w:rsidTr="003B0B43">
        <w:tc>
          <w:tcPr>
            <w:tcW w:w="1384" w:type="dxa"/>
            <w:vAlign w:val="center"/>
          </w:tcPr>
          <w:p w14:paraId="0250FA5A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77A0F129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6BFBAC29" w14:textId="77777777" w:rsidTr="003B0B43">
        <w:tc>
          <w:tcPr>
            <w:tcW w:w="1384" w:type="dxa"/>
            <w:vAlign w:val="center"/>
          </w:tcPr>
          <w:p w14:paraId="543DEF3E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71000CD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31088C1E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2FF4320B" w14:textId="77777777" w:rsidR="0005326E" w:rsidRDefault="0005326E" w:rsidP="00E837B7">
      <w:pPr>
        <w:rPr>
          <w:rFonts w:cs="Arial"/>
          <w:sz w:val="21"/>
          <w:szCs w:val="21"/>
        </w:rPr>
      </w:pPr>
    </w:p>
    <w:p w14:paraId="46308CFD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4F9D9A34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6C31A3FD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76D1EB7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40402B6C" w14:textId="77777777" w:rsidR="00825BA0" w:rsidRPr="00825BA0" w:rsidRDefault="00825BA0" w:rsidP="00825BA0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Předmět plnění je financován</w:t>
      </w:r>
      <w:r w:rsidRPr="008545A4">
        <w:rPr>
          <w:rFonts w:cs="Arial"/>
          <w:color w:val="000000"/>
          <w:sz w:val="21"/>
          <w:szCs w:val="21"/>
        </w:rPr>
        <w:t xml:space="preserve"> </w:t>
      </w:r>
      <w:r w:rsidRPr="006B4620">
        <w:rPr>
          <w:rFonts w:cs="Arial"/>
          <w:sz w:val="21"/>
          <w:szCs w:val="21"/>
        </w:rPr>
        <w:t>ze strukturálních fondů Evropské unie, OP Jan Amos Komenský, a to z projektu AdAgriF, registrační číslo projektu</w:t>
      </w:r>
      <w:r>
        <w:rPr>
          <w:rFonts w:cs="Arial"/>
          <w:sz w:val="21"/>
          <w:szCs w:val="21"/>
        </w:rPr>
        <w:t>: CZ.02.01.01/00/22_008/0004635</w:t>
      </w:r>
      <w:r w:rsidRPr="008545A4">
        <w:rPr>
          <w:rFonts w:cs="Arial"/>
          <w:color w:val="000000"/>
          <w:sz w:val="21"/>
          <w:szCs w:val="21"/>
        </w:rPr>
        <w:t>.</w:t>
      </w:r>
    </w:p>
    <w:p w14:paraId="78CE9902" w14:textId="77777777" w:rsidR="00DA7E4F" w:rsidRDefault="00DA7E4F" w:rsidP="00DE5A99">
      <w:pPr>
        <w:rPr>
          <w:rFonts w:cs="Arial"/>
          <w:sz w:val="21"/>
          <w:szCs w:val="21"/>
        </w:rPr>
      </w:pPr>
    </w:p>
    <w:p w14:paraId="28D0EC92" w14:textId="77777777" w:rsidR="00316D1B" w:rsidRPr="006F6BBE" w:rsidRDefault="00316D1B" w:rsidP="00DF2B83">
      <w:pPr>
        <w:ind w:left="0" w:firstLine="0"/>
        <w:rPr>
          <w:rFonts w:cs="Arial"/>
          <w:sz w:val="21"/>
          <w:szCs w:val="21"/>
        </w:rPr>
      </w:pPr>
    </w:p>
    <w:p w14:paraId="721066D7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7A464315" w14:textId="77777777" w:rsidR="003374A3" w:rsidRPr="003E64C4" w:rsidRDefault="00C9276D" w:rsidP="001C01C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F44732">
        <w:rPr>
          <w:rFonts w:cs="Arial"/>
          <w:sz w:val="21"/>
          <w:szCs w:val="21"/>
        </w:rPr>
        <w:t>je</w:t>
      </w:r>
      <w:r w:rsidR="00825BA0">
        <w:rPr>
          <w:rFonts w:cs="Arial"/>
          <w:sz w:val="21"/>
          <w:szCs w:val="21"/>
        </w:rPr>
        <w:t xml:space="preserve"> </w:t>
      </w:r>
      <w:r w:rsidR="00F44732">
        <w:rPr>
          <w:rFonts w:cs="Arial"/>
          <w:sz w:val="21"/>
          <w:szCs w:val="21"/>
        </w:rPr>
        <w:t>přenosný analyzátor</w:t>
      </w:r>
      <w:r w:rsidR="001C01CA">
        <w:rPr>
          <w:rFonts w:cs="Arial"/>
          <w:sz w:val="21"/>
          <w:szCs w:val="21"/>
        </w:rPr>
        <w:t xml:space="preserve"> izotopového poměru</w:t>
      </w:r>
      <w:r w:rsidR="001C01CA" w:rsidRPr="001C01CA">
        <w:t xml:space="preserve"> </w:t>
      </w:r>
      <w:r w:rsidR="001C01CA" w:rsidRPr="001C01CA">
        <w:rPr>
          <w:rFonts w:cs="Arial"/>
          <w:sz w:val="21"/>
          <w:szCs w:val="21"/>
        </w:rPr>
        <w:t>δ13C, δ18O, δ17O a koncentrace CO</w:t>
      </w:r>
      <w:r w:rsidR="001C01CA" w:rsidRPr="001C01CA">
        <w:rPr>
          <w:rFonts w:cs="Arial"/>
          <w:sz w:val="21"/>
          <w:szCs w:val="21"/>
          <w:vertAlign w:val="subscript"/>
        </w:rPr>
        <w:t>2</w:t>
      </w:r>
      <w:r w:rsidR="001C01CA" w:rsidRPr="001C01CA">
        <w:rPr>
          <w:rFonts w:cs="Arial"/>
          <w:sz w:val="21"/>
          <w:szCs w:val="21"/>
        </w:rPr>
        <w:t>, NH</w:t>
      </w:r>
      <w:r w:rsidR="001C01CA" w:rsidRPr="001C01CA">
        <w:rPr>
          <w:rFonts w:cs="Arial"/>
          <w:sz w:val="21"/>
          <w:szCs w:val="21"/>
          <w:vertAlign w:val="subscript"/>
        </w:rPr>
        <w:t>3</w:t>
      </w:r>
      <w:r w:rsidR="001C01CA" w:rsidRPr="001C01CA">
        <w:rPr>
          <w:rFonts w:cs="Arial"/>
          <w:sz w:val="21"/>
          <w:szCs w:val="21"/>
        </w:rPr>
        <w:t xml:space="preserve"> a H</w:t>
      </w:r>
      <w:r w:rsidR="001C01CA" w:rsidRPr="001C01CA">
        <w:rPr>
          <w:rFonts w:cs="Arial"/>
          <w:sz w:val="21"/>
          <w:szCs w:val="21"/>
          <w:vertAlign w:val="subscript"/>
        </w:rPr>
        <w:t>2</w:t>
      </w:r>
      <w:r w:rsidR="001C01CA" w:rsidRPr="001C01CA">
        <w:rPr>
          <w:rFonts w:cs="Arial"/>
          <w:sz w:val="21"/>
          <w:szCs w:val="21"/>
        </w:rPr>
        <w:t>O</w:t>
      </w:r>
      <w:r w:rsidR="00D82285">
        <w:rPr>
          <w:rFonts w:cs="Arial"/>
          <w:sz w:val="21"/>
          <w:szCs w:val="21"/>
        </w:rPr>
        <w:t xml:space="preserve"> (1 kus). </w:t>
      </w:r>
    </w:p>
    <w:p w14:paraId="74887BEE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33074AAE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39C8BA5F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64A29B16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D248D4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0E4BF6E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34B6179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4DE70DD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340BA5E3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3DE7BDB2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7E653365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0B71B2D0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23E598A0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A1CFB68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04E590FD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D82285">
        <w:rPr>
          <w:rFonts w:cs="Arial"/>
          <w:b/>
          <w:sz w:val="21"/>
          <w:szCs w:val="21"/>
        </w:rPr>
        <w:t>20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75F7E2F8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41CB329D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2B6187E1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57A68A38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2B116B20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564769DD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0CB528D1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CEB9220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145191F2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1858ACDC" w14:textId="2A841B61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1723C1">
        <w:rPr>
          <w:rFonts w:cs="Arial"/>
          <w:sz w:val="21"/>
          <w:szCs w:val="21"/>
        </w:rPr>
        <w:t>2 </w:t>
      </w:r>
      <w:r w:rsidR="007E56FC">
        <w:rPr>
          <w:rFonts w:cs="Arial"/>
          <w:sz w:val="21"/>
          <w:szCs w:val="21"/>
        </w:rPr>
        <w:t>55</w:t>
      </w:r>
      <w:r w:rsidR="001723C1">
        <w:rPr>
          <w:rFonts w:cs="Arial"/>
          <w:sz w:val="21"/>
          <w:szCs w:val="21"/>
        </w:rPr>
        <w:t>9 65</w:t>
      </w:r>
      <w:r w:rsidR="007E56FC">
        <w:rPr>
          <w:rFonts w:cs="Arial"/>
          <w:sz w:val="21"/>
          <w:szCs w:val="21"/>
        </w:rPr>
        <w:t>6</w:t>
      </w:r>
      <w:r w:rsidR="001723C1">
        <w:rPr>
          <w:rFonts w:cs="Arial"/>
          <w:sz w:val="21"/>
          <w:szCs w:val="21"/>
        </w:rPr>
        <w:t xml:space="preserve">,-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1CEC3363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2C7C3109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3371F878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655D10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5411E03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E292776" w14:textId="77777777" w:rsidR="00825BA0" w:rsidRPr="007F1BCE" w:rsidRDefault="00825BA0" w:rsidP="00825B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 w:rsidRPr="003C6952">
        <w:rPr>
          <w:rFonts w:cs="Arial"/>
          <w:sz w:val="21"/>
          <w:szCs w:val="21"/>
        </w:rPr>
        <w:t>AdAgriF – Pokročilé metody redukce emisí a sekvestrace skleníkových plynů v zemědělské a lesní krajině pro mitigaci změny klimatu – CZ.02.01.01/00/22_008/0004635</w:t>
      </w:r>
      <w:r>
        <w:rPr>
          <w:rFonts w:cs="Arial"/>
          <w:sz w:val="21"/>
          <w:szCs w:val="21"/>
        </w:rPr>
        <w:t xml:space="preserve">, neurčí-li </w:t>
      </w:r>
      <w:r w:rsidR="00D11BAD">
        <w:rPr>
          <w:rFonts w:cs="Arial"/>
          <w:sz w:val="21"/>
          <w:szCs w:val="21"/>
        </w:rPr>
        <w:t>kupující</w:t>
      </w:r>
      <w:r>
        <w:rPr>
          <w:rFonts w:cs="Arial"/>
          <w:sz w:val="21"/>
          <w:szCs w:val="21"/>
        </w:rPr>
        <w:t xml:space="preserve"> jinak.</w:t>
      </w:r>
    </w:p>
    <w:p w14:paraId="0BDBD9EC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0C43F68C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26561B19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505A5770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34D936DC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0C1A613A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6B10B69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7B3A0530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BE5FB25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40E0AC42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063D3686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75615E49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336B0BC9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2CAFDBD6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719174F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7440E17F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7817C722" w14:textId="3645D209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1723C1">
        <w:rPr>
          <w:rFonts w:cs="Arial"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33F6940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72B58680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38F5DCEE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4B2956D3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BF4B79E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4634EF81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77D51029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2F0830">
        <w:rPr>
          <w:rFonts w:cs="Arial"/>
          <w:b/>
          <w:sz w:val="21"/>
          <w:szCs w:val="21"/>
        </w:rPr>
        <w:t>5</w:t>
      </w:r>
      <w:r w:rsidR="001C01CA">
        <w:rPr>
          <w:rFonts w:cs="Arial"/>
          <w:b/>
          <w:sz w:val="21"/>
          <w:szCs w:val="21"/>
        </w:rPr>
        <w:t>.0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43D9EF1A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1AB69C2D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6A923B1E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06F2E6C3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2F8B79CB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14CC2802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77277E3C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4122B5C3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6BA3DE5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894B986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4C9DF2F7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627ECACA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35369827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0A77D1CF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31B8AA2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146527C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07B32C2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7FB16C24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548EA613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7F86109F" w14:textId="77777777" w:rsidR="00D01D00" w:rsidRDefault="00D01D00" w:rsidP="00DE5A99">
      <w:pPr>
        <w:rPr>
          <w:rFonts w:cs="Arial"/>
          <w:sz w:val="21"/>
          <w:szCs w:val="21"/>
        </w:rPr>
      </w:pPr>
    </w:p>
    <w:p w14:paraId="5538AF47" w14:textId="77777777" w:rsidR="00DF2B83" w:rsidRDefault="00DF2B83" w:rsidP="00DE5A99">
      <w:pPr>
        <w:rPr>
          <w:rFonts w:cs="Arial"/>
          <w:sz w:val="21"/>
          <w:szCs w:val="21"/>
        </w:rPr>
      </w:pPr>
    </w:p>
    <w:p w14:paraId="7AA91905" w14:textId="77777777" w:rsidR="00DF2B83" w:rsidRDefault="00DF2B83" w:rsidP="00DE5A99">
      <w:pPr>
        <w:rPr>
          <w:rFonts w:cs="Arial"/>
          <w:sz w:val="21"/>
          <w:szCs w:val="21"/>
        </w:rPr>
      </w:pPr>
    </w:p>
    <w:p w14:paraId="4431DA0A" w14:textId="77777777" w:rsidR="00DF2B83" w:rsidRPr="006F6BBE" w:rsidRDefault="00DF2B83" w:rsidP="00DE5A99">
      <w:pPr>
        <w:rPr>
          <w:rFonts w:cs="Arial"/>
          <w:sz w:val="21"/>
          <w:szCs w:val="21"/>
        </w:rPr>
      </w:pPr>
    </w:p>
    <w:p w14:paraId="478689F9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0F67F538" w14:textId="5978785F" w:rsidR="007F3398" w:rsidRDefault="00B608FB" w:rsidP="007F339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F3398">
        <w:rPr>
          <w:rFonts w:cs="Arial"/>
          <w:sz w:val="21"/>
          <w:szCs w:val="21"/>
        </w:rPr>
        <w:t xml:space="preserve">Zástupcem kupujícího je </w:t>
      </w:r>
      <w:r w:rsidR="007E22BA">
        <w:rPr>
          <w:rFonts w:cs="Arial"/>
          <w:sz w:val="21"/>
          <w:szCs w:val="21"/>
        </w:rPr>
        <w:t>xxxxxxxxxxxxxx</w:t>
      </w:r>
      <w:r w:rsidR="001C45C8" w:rsidRPr="007F3398">
        <w:rPr>
          <w:rFonts w:cs="Arial"/>
          <w:sz w:val="21"/>
          <w:szCs w:val="21"/>
        </w:rPr>
        <w:t>.</w:t>
      </w:r>
      <w:r w:rsidR="004C6EFA" w:rsidRPr="007F3398">
        <w:rPr>
          <w:rFonts w:cs="Arial"/>
          <w:sz w:val="21"/>
          <w:szCs w:val="21"/>
        </w:rPr>
        <w:t xml:space="preserve">, </w:t>
      </w:r>
      <w:hyperlink r:id="rId8" w:history="1">
        <w:r w:rsidR="007E22BA">
          <w:rPr>
            <w:rStyle w:val="Hypertextovodkaz"/>
            <w:rFonts w:cs="Arial"/>
            <w:sz w:val="21"/>
            <w:szCs w:val="21"/>
          </w:rPr>
          <w:t>xxxxxxxxxxxxxx</w:t>
        </w:r>
      </w:hyperlink>
      <w:r w:rsidR="004C6EFA" w:rsidRPr="007F3398">
        <w:rPr>
          <w:rFonts w:cs="Arial"/>
          <w:sz w:val="21"/>
          <w:szCs w:val="21"/>
        </w:rPr>
        <w:t xml:space="preserve">. </w:t>
      </w:r>
      <w:r w:rsidRPr="007F3398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7F3398">
        <w:rPr>
          <w:rFonts w:cs="Arial"/>
          <w:sz w:val="21"/>
          <w:szCs w:val="21"/>
        </w:rPr>
        <w:t xml:space="preserve">, </w:t>
      </w:r>
      <w:r w:rsidRPr="007F3398">
        <w:rPr>
          <w:rFonts w:cs="Arial"/>
          <w:sz w:val="21"/>
          <w:szCs w:val="21"/>
        </w:rPr>
        <w:t xml:space="preserve">nemůže </w:t>
      </w:r>
      <w:r w:rsidR="0036166F" w:rsidRPr="007F3398">
        <w:rPr>
          <w:rFonts w:cs="Arial"/>
          <w:sz w:val="21"/>
          <w:szCs w:val="21"/>
        </w:rPr>
        <w:t xml:space="preserve">však </w:t>
      </w:r>
      <w:r w:rsidRPr="007F3398">
        <w:rPr>
          <w:rFonts w:cs="Arial"/>
          <w:sz w:val="21"/>
          <w:szCs w:val="21"/>
        </w:rPr>
        <w:t>smlouvu ani měnit ani ukončit.</w:t>
      </w:r>
    </w:p>
    <w:p w14:paraId="22371E11" w14:textId="18F90A76" w:rsidR="004D1689" w:rsidRPr="007F3398" w:rsidRDefault="00B608FB" w:rsidP="007F339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F3398">
        <w:rPr>
          <w:rFonts w:cs="Arial"/>
          <w:sz w:val="21"/>
          <w:szCs w:val="21"/>
        </w:rPr>
        <w:t xml:space="preserve">Zástupcem prodávajícího je </w:t>
      </w:r>
      <w:r w:rsidR="007E22BA">
        <w:rPr>
          <w:rFonts w:cs="Arial"/>
          <w:sz w:val="21"/>
          <w:szCs w:val="21"/>
        </w:rPr>
        <w:t>xxxxxxxxxxxxxx</w:t>
      </w:r>
      <w:r w:rsidR="007F3398" w:rsidRPr="007F3398">
        <w:rPr>
          <w:rFonts w:cs="Arial"/>
          <w:sz w:val="21"/>
          <w:szCs w:val="21"/>
        </w:rPr>
        <w:t xml:space="preserve"> </w:t>
      </w:r>
      <w:r w:rsidR="007E22BA">
        <w:rPr>
          <w:rFonts w:cs="Arial"/>
          <w:sz w:val="21"/>
          <w:szCs w:val="21"/>
        </w:rPr>
        <w:t>xxxxxxxxxxxxxx</w:t>
      </w:r>
      <w:r w:rsidR="007F3398" w:rsidRPr="007F3398">
        <w:rPr>
          <w:rFonts w:cs="Arial"/>
          <w:sz w:val="21"/>
          <w:szCs w:val="21"/>
        </w:rPr>
        <w:t>.</w:t>
      </w:r>
      <w:r w:rsidRPr="007F3398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7F3398">
        <w:rPr>
          <w:rFonts w:cs="Arial"/>
          <w:sz w:val="21"/>
          <w:szCs w:val="21"/>
        </w:rPr>
        <w:t>nemůže však smlouvu ani měnit ani ukončit.</w:t>
      </w:r>
    </w:p>
    <w:p w14:paraId="378938E9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2659081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4098B5E5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3D86F3F9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7D4A72DE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2C259F91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3A674D53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280E4637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46A87662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47D2759A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6FF67347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5CB15EEE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1B93BF48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0E1DF970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2EF6EDB8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520A6FE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7572E1E0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53505818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4C50652A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4345CAEF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67870205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416579CB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6CFE43E0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717ECE20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28B6953E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7F88297C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25AC8291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6619CCB7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7F3398" w:rsidRPr="006F6BBE" w14:paraId="15A9DF51" w14:textId="77777777" w:rsidTr="001B00E6">
        <w:tc>
          <w:tcPr>
            <w:tcW w:w="4606" w:type="dxa"/>
            <w:vAlign w:val="center"/>
          </w:tcPr>
          <w:p w14:paraId="06CF72BC" w14:textId="7A9A7824" w:rsidR="007F3398" w:rsidRPr="006F6BBE" w:rsidRDefault="007F3398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626E6A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626E6A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 2024</w:t>
            </w:r>
          </w:p>
        </w:tc>
        <w:tc>
          <w:tcPr>
            <w:tcW w:w="5000" w:type="dxa"/>
            <w:vAlign w:val="center"/>
          </w:tcPr>
          <w:p w14:paraId="5F713923" w14:textId="77777777" w:rsidR="007F3398" w:rsidRPr="006F6BBE" w:rsidRDefault="007F3398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7F3398" w:rsidRPr="006F6BBE" w14:paraId="0CC56F6F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30E8D39C" w14:textId="77777777" w:rsidR="007F3398" w:rsidRPr="006F6BBE" w:rsidRDefault="007F3398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6F0ACF73" w14:textId="77777777" w:rsidR="007F3398" w:rsidRPr="006F6BBE" w:rsidRDefault="007F3398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3398" w:rsidRPr="006F6BBE" w14:paraId="13ADC99D" w14:textId="77777777" w:rsidTr="001B00E6">
        <w:tc>
          <w:tcPr>
            <w:tcW w:w="4606" w:type="dxa"/>
            <w:vAlign w:val="center"/>
          </w:tcPr>
          <w:p w14:paraId="0D50A428" w14:textId="7BCC1F42" w:rsidR="007F3398" w:rsidRPr="006F6BBE" w:rsidRDefault="001723C1" w:rsidP="001723C1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F3398"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69B65A29" w14:textId="77777777" w:rsidR="007F3398" w:rsidRPr="006F6BBE" w:rsidRDefault="007F3398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7F3398" w:rsidRPr="006F6BBE" w14:paraId="2C909298" w14:textId="77777777" w:rsidTr="001B00E6">
        <w:tc>
          <w:tcPr>
            <w:tcW w:w="4606" w:type="dxa"/>
            <w:vAlign w:val="center"/>
          </w:tcPr>
          <w:p w14:paraId="0D1C4309" w14:textId="3190CACC" w:rsidR="007F3398" w:rsidRPr="006F6BBE" w:rsidRDefault="001723C1" w:rsidP="001723C1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j</w:t>
            </w:r>
            <w:r w:rsidR="007F3398">
              <w:rPr>
                <w:rFonts w:ascii="Arial" w:hAnsi="Arial" w:cs="Arial"/>
                <w:sz w:val="21"/>
                <w:szCs w:val="21"/>
              </w:rPr>
              <w:t>ednatel společnosti</w:t>
            </w:r>
          </w:p>
        </w:tc>
        <w:tc>
          <w:tcPr>
            <w:tcW w:w="5000" w:type="dxa"/>
            <w:vAlign w:val="center"/>
          </w:tcPr>
          <w:p w14:paraId="10447030" w14:textId="77777777" w:rsidR="007F3398" w:rsidRPr="006F6BBE" w:rsidRDefault="007F3398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7F3398" w:rsidRPr="006F6BBE" w14:paraId="77F73DE2" w14:textId="77777777" w:rsidTr="001B00E6">
        <w:tc>
          <w:tcPr>
            <w:tcW w:w="4606" w:type="dxa"/>
            <w:vAlign w:val="center"/>
          </w:tcPr>
          <w:p w14:paraId="41548AB0" w14:textId="5BC416D3" w:rsidR="007F3398" w:rsidRPr="006F6BBE" w:rsidRDefault="001723C1" w:rsidP="001723C1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7F3398">
              <w:rPr>
                <w:rFonts w:ascii="Arial" w:hAnsi="Arial" w:cs="Arial"/>
                <w:sz w:val="21"/>
                <w:szCs w:val="21"/>
              </w:rPr>
              <w:t>Ekotechnika s.r.o.</w:t>
            </w:r>
          </w:p>
        </w:tc>
        <w:tc>
          <w:tcPr>
            <w:tcW w:w="5000" w:type="dxa"/>
            <w:vAlign w:val="center"/>
          </w:tcPr>
          <w:p w14:paraId="635967FD" w14:textId="77777777" w:rsidR="007F3398" w:rsidRPr="006F6BBE" w:rsidRDefault="007F3398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630DF34C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293B8F8A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6CFE6E4E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77DAA9FB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1AB807EF" w14:textId="77777777" w:rsidR="00AB3A54" w:rsidRDefault="00AB3A54" w:rsidP="003374A3">
      <w:pPr>
        <w:ind w:left="0" w:firstLine="0"/>
      </w:pPr>
    </w:p>
    <w:p w14:paraId="21151825" w14:textId="77777777" w:rsidR="003374A3" w:rsidRPr="00F52333" w:rsidRDefault="003374A3" w:rsidP="003374A3">
      <w:pPr>
        <w:ind w:left="0" w:firstLine="0"/>
        <w:jc w:val="left"/>
        <w:rPr>
          <w:rFonts w:cs="Arial"/>
          <w:b/>
          <w:sz w:val="21"/>
          <w:szCs w:val="21"/>
        </w:rPr>
      </w:pPr>
      <w:r w:rsidRPr="00F52333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414BFF62" w14:textId="77777777" w:rsidR="003374A3" w:rsidRDefault="003374A3" w:rsidP="003374A3">
      <w:pPr>
        <w:ind w:left="0" w:firstLine="0"/>
      </w:pPr>
    </w:p>
    <w:p w14:paraId="1B91386F" w14:textId="77777777" w:rsidR="003374A3" w:rsidRPr="00F44732" w:rsidRDefault="001C01CA" w:rsidP="001C01CA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44732">
        <w:rPr>
          <w:rFonts w:cs="Arial"/>
          <w:b/>
          <w:smallCaps/>
          <w:spacing w:val="32"/>
          <w:sz w:val="21"/>
          <w:szCs w:val="21"/>
        </w:rPr>
        <w:t>Přenosný analyzátor izotopového poměru</w:t>
      </w:r>
      <w:r w:rsidRPr="00F44732">
        <w:rPr>
          <w:rFonts w:cs="Arial"/>
          <w:b/>
          <w:color w:val="000000" w:themeColor="text1"/>
          <w:sz w:val="21"/>
          <w:szCs w:val="21"/>
        </w:rPr>
        <w:t xml:space="preserve"> δ</w:t>
      </w:r>
      <w:r w:rsidRPr="00F44732">
        <w:rPr>
          <w:rFonts w:cs="Arial"/>
          <w:b/>
          <w:color w:val="000000" w:themeColor="text1"/>
          <w:sz w:val="21"/>
          <w:szCs w:val="21"/>
          <w:vertAlign w:val="superscript"/>
        </w:rPr>
        <w:t>13</w:t>
      </w:r>
      <w:r w:rsidRPr="00F44732">
        <w:rPr>
          <w:rFonts w:cs="Arial"/>
          <w:b/>
          <w:color w:val="000000" w:themeColor="text1"/>
          <w:sz w:val="21"/>
          <w:szCs w:val="21"/>
        </w:rPr>
        <w:t>C, δ</w:t>
      </w:r>
      <w:r w:rsidRPr="00F44732">
        <w:rPr>
          <w:rFonts w:cs="Arial"/>
          <w:b/>
          <w:color w:val="000000" w:themeColor="text1"/>
          <w:sz w:val="21"/>
          <w:szCs w:val="21"/>
          <w:vertAlign w:val="superscript"/>
        </w:rPr>
        <w:t>18</w:t>
      </w:r>
      <w:r w:rsidRPr="00F44732">
        <w:rPr>
          <w:rFonts w:cs="Arial"/>
          <w:b/>
          <w:color w:val="000000" w:themeColor="text1"/>
          <w:sz w:val="21"/>
          <w:szCs w:val="21"/>
        </w:rPr>
        <w:t>O, δ</w:t>
      </w:r>
      <w:r w:rsidRPr="00F44732">
        <w:rPr>
          <w:rFonts w:cs="Arial"/>
          <w:b/>
          <w:color w:val="000000" w:themeColor="text1"/>
          <w:sz w:val="21"/>
          <w:szCs w:val="21"/>
          <w:vertAlign w:val="superscript"/>
        </w:rPr>
        <w:t>17</w:t>
      </w:r>
      <w:r w:rsidRPr="00F44732">
        <w:rPr>
          <w:rFonts w:cs="Arial"/>
          <w:b/>
          <w:color w:val="000000" w:themeColor="text1"/>
          <w:sz w:val="21"/>
          <w:szCs w:val="21"/>
        </w:rPr>
        <w:t>O a koncentrace CO</w:t>
      </w:r>
      <w:r w:rsidRPr="00F44732">
        <w:rPr>
          <w:rFonts w:cs="Arial"/>
          <w:b/>
          <w:color w:val="000000" w:themeColor="text1"/>
          <w:sz w:val="21"/>
          <w:szCs w:val="21"/>
          <w:vertAlign w:val="subscript"/>
        </w:rPr>
        <w:t>2</w:t>
      </w:r>
      <w:r w:rsidRPr="00F44732">
        <w:rPr>
          <w:rFonts w:cs="Arial"/>
          <w:b/>
          <w:color w:val="000000" w:themeColor="text1"/>
          <w:sz w:val="21"/>
          <w:szCs w:val="21"/>
        </w:rPr>
        <w:t>, NH</w:t>
      </w:r>
      <w:r w:rsidRPr="00F44732">
        <w:rPr>
          <w:rFonts w:cs="Arial"/>
          <w:b/>
          <w:color w:val="000000" w:themeColor="text1"/>
          <w:sz w:val="21"/>
          <w:szCs w:val="21"/>
          <w:vertAlign w:val="subscript"/>
        </w:rPr>
        <w:t>3</w:t>
      </w:r>
      <w:r w:rsidRPr="00F44732">
        <w:rPr>
          <w:rFonts w:cs="Arial"/>
          <w:b/>
          <w:color w:val="000000" w:themeColor="text1"/>
          <w:sz w:val="21"/>
          <w:szCs w:val="21"/>
        </w:rPr>
        <w:t xml:space="preserve"> a H</w:t>
      </w:r>
      <w:r w:rsidRPr="00F44732">
        <w:rPr>
          <w:rFonts w:cs="Arial"/>
          <w:b/>
          <w:color w:val="000000" w:themeColor="text1"/>
          <w:sz w:val="21"/>
          <w:szCs w:val="21"/>
          <w:vertAlign w:val="subscript"/>
        </w:rPr>
        <w:t>2</w:t>
      </w:r>
      <w:r w:rsidRPr="00F44732">
        <w:rPr>
          <w:rFonts w:cs="Arial"/>
          <w:b/>
          <w:color w:val="000000" w:themeColor="text1"/>
          <w:sz w:val="21"/>
          <w:szCs w:val="21"/>
        </w:rPr>
        <w:t>O</w:t>
      </w:r>
      <w:r w:rsidRPr="00F44732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3374A3" w:rsidRPr="00F44732">
        <w:rPr>
          <w:rFonts w:cs="Arial"/>
          <w:b/>
          <w:smallCaps/>
          <w:spacing w:val="32"/>
          <w:sz w:val="21"/>
          <w:szCs w:val="21"/>
        </w:rPr>
        <w:t>(1 kus)</w:t>
      </w:r>
    </w:p>
    <w:p w14:paraId="2D2EA808" w14:textId="77777777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71F10D1A" w14:textId="383013F6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Výrobce:</w:t>
      </w:r>
      <w:r w:rsidR="001723C1" w:rsidRPr="001723C1">
        <w:t xml:space="preserve"> LI-COR Environmental</w:t>
      </w:r>
    </w:p>
    <w:p w14:paraId="47908240" w14:textId="603740E8" w:rsidR="00D23F1A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1723C1">
        <w:rPr>
          <w:rFonts w:cs="Arial"/>
          <w:b/>
          <w:smallCaps/>
          <w:spacing w:val="32"/>
          <w:sz w:val="21"/>
          <w:szCs w:val="21"/>
        </w:rPr>
        <w:t>LI-7825</w:t>
      </w:r>
    </w:p>
    <w:p w14:paraId="0DE1A8FF" w14:textId="77777777" w:rsidR="00D23F1A" w:rsidRPr="00197D73" w:rsidRDefault="00D23F1A" w:rsidP="00D23F1A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251CE6A7" w14:textId="77777777" w:rsidR="001C01CA" w:rsidRPr="001C01CA" w:rsidRDefault="001C01CA" w:rsidP="001C01CA">
      <w:pPr>
        <w:ind w:left="0" w:firstLine="0"/>
        <w:rPr>
          <w:rFonts w:cs="Arial"/>
          <w:b/>
          <w:sz w:val="21"/>
          <w:szCs w:val="21"/>
        </w:rPr>
      </w:pPr>
      <w:r w:rsidRPr="001C01CA">
        <w:rPr>
          <w:rFonts w:cs="Arial"/>
          <w:b/>
          <w:sz w:val="21"/>
          <w:szCs w:val="21"/>
        </w:rPr>
        <w:t>Obecný popis:</w:t>
      </w:r>
    </w:p>
    <w:p w14:paraId="60C947FE" w14:textId="77777777" w:rsidR="00DF2B83" w:rsidRPr="00DF2B83" w:rsidRDefault="00DF2B83" w:rsidP="00DF2B83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DF2B83">
        <w:rPr>
          <w:rFonts w:cs="Arial"/>
          <w:sz w:val="21"/>
          <w:szCs w:val="21"/>
        </w:rPr>
        <w:t xml:space="preserve">Předmětem koupě je </w:t>
      </w:r>
      <w:r w:rsidRPr="00DF2B83">
        <w:rPr>
          <w:rFonts w:eastAsia="Times New Roman" w:cs="Arial"/>
          <w:sz w:val="21"/>
          <w:szCs w:val="21"/>
          <w:lang w:eastAsia="cs-CZ"/>
        </w:rPr>
        <w:t>analyzátor plynů měřící nejrozšířenější izotopy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 xml:space="preserve"> ve vzduchu (izotopové poměry δ</w:t>
      </w:r>
      <w:r w:rsidRPr="00DF2B83">
        <w:rPr>
          <w:rFonts w:eastAsia="Times New Roman" w:cs="Arial"/>
          <w:sz w:val="21"/>
          <w:szCs w:val="21"/>
          <w:vertAlign w:val="superscript"/>
          <w:lang w:eastAsia="cs-CZ"/>
        </w:rPr>
        <w:t>13</w:t>
      </w:r>
      <w:r w:rsidRPr="00DF2B83">
        <w:rPr>
          <w:rFonts w:eastAsia="Times New Roman" w:cs="Arial"/>
          <w:sz w:val="21"/>
          <w:szCs w:val="21"/>
          <w:lang w:eastAsia="cs-CZ"/>
        </w:rPr>
        <w:t>C, δ</w:t>
      </w:r>
      <w:r w:rsidRPr="00DF2B83">
        <w:rPr>
          <w:rFonts w:eastAsia="Times New Roman" w:cs="Arial"/>
          <w:sz w:val="21"/>
          <w:szCs w:val="21"/>
          <w:vertAlign w:val="superscript"/>
          <w:lang w:eastAsia="cs-CZ"/>
        </w:rPr>
        <w:t>18</w:t>
      </w:r>
      <w:r w:rsidRPr="00DF2B83">
        <w:rPr>
          <w:rFonts w:eastAsia="Times New Roman" w:cs="Arial"/>
          <w:sz w:val="21"/>
          <w:szCs w:val="21"/>
          <w:lang w:eastAsia="cs-CZ"/>
        </w:rPr>
        <w:t>O, δ</w:t>
      </w:r>
      <w:r w:rsidRPr="00DF2B83">
        <w:rPr>
          <w:rFonts w:eastAsia="Times New Roman" w:cs="Arial"/>
          <w:sz w:val="21"/>
          <w:szCs w:val="21"/>
          <w:vertAlign w:val="superscript"/>
          <w:lang w:eastAsia="cs-CZ"/>
        </w:rPr>
        <w:t>17</w:t>
      </w:r>
      <w:r w:rsidRPr="00DF2B83">
        <w:rPr>
          <w:rFonts w:eastAsia="Times New Roman" w:cs="Arial"/>
          <w:sz w:val="21"/>
          <w:szCs w:val="21"/>
          <w:lang w:eastAsia="cs-CZ"/>
        </w:rPr>
        <w:t>O) s vysokou přesností a současně měřící koncentrace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>, H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>O a NH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3</w:t>
      </w:r>
      <w:r w:rsidRPr="00DF2B83">
        <w:rPr>
          <w:rFonts w:eastAsia="Times New Roman" w:cs="Arial"/>
          <w:sz w:val="21"/>
          <w:szCs w:val="21"/>
          <w:lang w:eastAsia="cs-CZ"/>
        </w:rPr>
        <w:t>. Požadovaná technologie měření je absorpční spektroskopie se zpětnou optickou vazbou (OF-CEAS). Musí se jednat o přenosný přístroj, v odolném provedení pro práci v terénu, napájený z akumulátorů, s výdrží baterie minimálně po dobu 8 hodin provozu, přičemž výměna akumulátorů musí být možná bez nutnosti přerušení měření. Jedná se o analyzátor, který umožňuje stanovit izotopový poměr δ</w:t>
      </w:r>
      <w:r w:rsidRPr="00DF2B83">
        <w:rPr>
          <w:rFonts w:eastAsia="Times New Roman" w:cs="Arial"/>
          <w:sz w:val="21"/>
          <w:szCs w:val="21"/>
          <w:vertAlign w:val="superscript"/>
          <w:lang w:eastAsia="cs-CZ"/>
        </w:rPr>
        <w:t>13</w:t>
      </w:r>
      <w:r w:rsidRPr="00DF2B83">
        <w:rPr>
          <w:rFonts w:eastAsia="Times New Roman" w:cs="Arial"/>
          <w:sz w:val="21"/>
          <w:szCs w:val="21"/>
          <w:lang w:eastAsia="cs-CZ"/>
        </w:rPr>
        <w:t>C v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 xml:space="preserve"> s přesností lepší než 0,05 ‰ při koncentraci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> 400 ppm a při 5minutovém průměrování.  Současně umožňuje také měřit izotopový poměr δ</w:t>
      </w:r>
      <w:r w:rsidRPr="00DF2B83">
        <w:rPr>
          <w:rFonts w:eastAsia="Times New Roman" w:cs="Arial"/>
          <w:sz w:val="21"/>
          <w:szCs w:val="21"/>
          <w:vertAlign w:val="superscript"/>
          <w:lang w:eastAsia="cs-CZ"/>
        </w:rPr>
        <w:t>18</w:t>
      </w:r>
      <w:r w:rsidRPr="00DF2B83">
        <w:rPr>
          <w:rFonts w:eastAsia="Times New Roman" w:cs="Arial"/>
          <w:sz w:val="21"/>
          <w:szCs w:val="21"/>
          <w:lang w:eastAsia="cs-CZ"/>
        </w:rPr>
        <w:t>O v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 xml:space="preserve"> s přesností lepší než 0,2 ‰ při koncentraci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> 400 ppm a při 5minutovém průměrování, a izotopový poměr δ</w:t>
      </w:r>
      <w:r w:rsidRPr="00DF2B83">
        <w:rPr>
          <w:rFonts w:eastAsia="Times New Roman" w:cs="Arial"/>
          <w:sz w:val="21"/>
          <w:szCs w:val="21"/>
          <w:vertAlign w:val="superscript"/>
          <w:lang w:eastAsia="cs-CZ"/>
        </w:rPr>
        <w:t>17</w:t>
      </w:r>
      <w:r w:rsidRPr="00DF2B83">
        <w:rPr>
          <w:rFonts w:eastAsia="Times New Roman" w:cs="Arial"/>
          <w:sz w:val="21"/>
          <w:szCs w:val="21"/>
          <w:lang w:eastAsia="cs-CZ"/>
        </w:rPr>
        <w:t>O a s přesností lepší než 0,5 ‰ při koncentraci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 xml:space="preserve"> 400 ppm a při 5minutovém průměrování. </w:t>
      </w:r>
    </w:p>
    <w:p w14:paraId="24DBC560" w14:textId="77777777" w:rsidR="001C01CA" w:rsidRPr="00DF2B83" w:rsidRDefault="00DF2B83" w:rsidP="00DF2B83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DF2B83">
        <w:rPr>
          <w:rFonts w:eastAsia="Times New Roman" w:cs="Arial"/>
          <w:sz w:val="21"/>
          <w:szCs w:val="21"/>
          <w:lang w:eastAsia="cs-CZ"/>
        </w:rPr>
        <w:t>Přístroj musí zajišťovat současně měření koncentrace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 xml:space="preserve"> s přesností lepší než 0,06 ppm s 5minutovým průměrováním (při koncentraci CO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 xml:space="preserve"> 400 ppm), měření koncentrace H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2</w:t>
      </w:r>
      <w:r w:rsidRPr="00DF2B83">
        <w:rPr>
          <w:rFonts w:eastAsia="Times New Roman" w:cs="Arial"/>
          <w:sz w:val="21"/>
          <w:szCs w:val="21"/>
          <w:lang w:eastAsia="cs-CZ"/>
        </w:rPr>
        <w:t>O s přesností lepší než 22 ppm s 5 sekundovým průměrováním (při 10 000 ppm), a měření koncentrace NH</w:t>
      </w:r>
      <w:r w:rsidRPr="00DF2B83">
        <w:rPr>
          <w:rFonts w:eastAsia="Times New Roman" w:cs="Arial"/>
          <w:sz w:val="21"/>
          <w:szCs w:val="21"/>
          <w:vertAlign w:val="subscript"/>
          <w:lang w:eastAsia="cs-CZ"/>
        </w:rPr>
        <w:t>3</w:t>
      </w:r>
      <w:r w:rsidRPr="00DF2B83">
        <w:rPr>
          <w:rFonts w:eastAsia="Times New Roman" w:cs="Arial"/>
          <w:sz w:val="21"/>
          <w:szCs w:val="21"/>
          <w:lang w:eastAsia="cs-CZ"/>
        </w:rPr>
        <w:t xml:space="preserve"> s přesností lepší než 3 ppb s 1 sekundovým průměrováním (při 300 ppb).</w:t>
      </w:r>
    </w:p>
    <w:p w14:paraId="1E2FAF25" w14:textId="77777777" w:rsidR="00DF2B83" w:rsidRPr="00DF2B83" w:rsidRDefault="00DF2B83" w:rsidP="00DF2B83">
      <w:pPr>
        <w:rPr>
          <w:rFonts w:eastAsia="Times New Roman" w:cs="Arial"/>
          <w:sz w:val="21"/>
          <w:szCs w:val="21"/>
          <w:lang w:eastAsia="cs-CZ"/>
        </w:rPr>
      </w:pPr>
    </w:p>
    <w:p w14:paraId="265EEBEB" w14:textId="77777777" w:rsidR="001C01CA" w:rsidRPr="00DF2B83" w:rsidRDefault="001C01CA" w:rsidP="001C01CA">
      <w:pPr>
        <w:ind w:left="0" w:firstLine="0"/>
        <w:rPr>
          <w:rFonts w:cs="Arial"/>
          <w:sz w:val="21"/>
          <w:szCs w:val="21"/>
        </w:rPr>
      </w:pPr>
      <w:r w:rsidRPr="00DF2B83">
        <w:rPr>
          <w:rFonts w:cs="Arial"/>
          <w:b/>
          <w:sz w:val="21"/>
          <w:szCs w:val="21"/>
        </w:rPr>
        <w:t>Technické parametry přenosného analyzátoru izotopového poměru δ</w:t>
      </w:r>
      <w:r w:rsidRPr="00DF2B83">
        <w:rPr>
          <w:rFonts w:cs="Arial"/>
          <w:b/>
          <w:sz w:val="21"/>
          <w:szCs w:val="21"/>
          <w:vertAlign w:val="superscript"/>
        </w:rPr>
        <w:t>13</w:t>
      </w:r>
      <w:r w:rsidRPr="00DF2B83">
        <w:rPr>
          <w:rFonts w:cs="Arial"/>
          <w:b/>
          <w:sz w:val="21"/>
          <w:szCs w:val="21"/>
        </w:rPr>
        <w:t>C, δ</w:t>
      </w:r>
      <w:r w:rsidRPr="00DF2B83">
        <w:rPr>
          <w:rFonts w:cs="Arial"/>
          <w:b/>
          <w:sz w:val="21"/>
          <w:szCs w:val="21"/>
          <w:vertAlign w:val="superscript"/>
        </w:rPr>
        <w:t>18</w:t>
      </w:r>
      <w:r w:rsidRPr="00DF2B83">
        <w:rPr>
          <w:rFonts w:cs="Arial"/>
          <w:b/>
          <w:sz w:val="21"/>
          <w:szCs w:val="21"/>
        </w:rPr>
        <w:t>O, δ</w:t>
      </w:r>
      <w:r w:rsidRPr="00DF2B83">
        <w:rPr>
          <w:rFonts w:cs="Arial"/>
          <w:b/>
          <w:sz w:val="21"/>
          <w:szCs w:val="21"/>
          <w:vertAlign w:val="superscript"/>
        </w:rPr>
        <w:t>17</w:t>
      </w:r>
      <w:r w:rsidRPr="00DF2B83">
        <w:rPr>
          <w:rFonts w:cs="Arial"/>
          <w:b/>
          <w:sz w:val="21"/>
          <w:szCs w:val="21"/>
        </w:rPr>
        <w:t>O a koncentrace CO</w:t>
      </w:r>
      <w:r w:rsidRPr="00DF2B83">
        <w:rPr>
          <w:rFonts w:cs="Arial"/>
          <w:b/>
          <w:sz w:val="21"/>
          <w:szCs w:val="21"/>
          <w:vertAlign w:val="subscript"/>
        </w:rPr>
        <w:t>2</w:t>
      </w:r>
      <w:r w:rsidRPr="00DF2B83">
        <w:rPr>
          <w:rFonts w:cs="Arial"/>
          <w:b/>
          <w:sz w:val="21"/>
          <w:szCs w:val="21"/>
        </w:rPr>
        <w:t>, NH</w:t>
      </w:r>
      <w:r w:rsidRPr="00DF2B83">
        <w:rPr>
          <w:rFonts w:cs="Arial"/>
          <w:b/>
          <w:sz w:val="21"/>
          <w:szCs w:val="21"/>
          <w:vertAlign w:val="subscript"/>
        </w:rPr>
        <w:t xml:space="preserve">3 </w:t>
      </w:r>
      <w:r w:rsidRPr="00DF2B83">
        <w:rPr>
          <w:rFonts w:cs="Arial"/>
          <w:b/>
          <w:sz w:val="21"/>
          <w:szCs w:val="21"/>
        </w:rPr>
        <w:t>a H</w:t>
      </w:r>
      <w:r w:rsidRPr="00DF2B83">
        <w:rPr>
          <w:rFonts w:cs="Arial"/>
          <w:b/>
          <w:sz w:val="21"/>
          <w:szCs w:val="21"/>
          <w:vertAlign w:val="subscript"/>
        </w:rPr>
        <w:t>2</w:t>
      </w:r>
      <w:r w:rsidRPr="00DF2B83">
        <w:rPr>
          <w:rFonts w:cs="Arial"/>
          <w:b/>
          <w:sz w:val="21"/>
          <w:szCs w:val="21"/>
        </w:rPr>
        <w:t>O</w:t>
      </w:r>
      <w:r w:rsidR="00F44732">
        <w:rPr>
          <w:rFonts w:cs="Arial"/>
          <w:sz w:val="21"/>
          <w:szCs w:val="21"/>
        </w:rPr>
        <w:t>:</w:t>
      </w:r>
    </w:p>
    <w:p w14:paraId="228D692B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Požadovaná technologie měření absorpční spektroskopie se zpětnou optickou vazbou.</w:t>
      </w:r>
    </w:p>
    <w:p w14:paraId="26086573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Přesnost měření </w:t>
      </w:r>
      <w:r w:rsidRPr="00DF2B83">
        <w:rPr>
          <w:rFonts w:cs="Arial"/>
          <w:bCs/>
          <w:sz w:val="21"/>
          <w:szCs w:val="21"/>
        </w:rPr>
        <w:t>δ</w:t>
      </w:r>
      <w:r w:rsidRPr="00DF2B83">
        <w:rPr>
          <w:rFonts w:cs="Arial"/>
          <w:bCs/>
          <w:sz w:val="21"/>
          <w:szCs w:val="21"/>
          <w:vertAlign w:val="superscript"/>
        </w:rPr>
        <w:t>13</w:t>
      </w:r>
      <w:r w:rsidRPr="00DF2B83">
        <w:rPr>
          <w:rFonts w:cs="Arial"/>
          <w:bCs/>
          <w:sz w:val="21"/>
          <w:szCs w:val="21"/>
        </w:rPr>
        <w:t>C lepší než 0,05</w:t>
      </w:r>
      <w:r w:rsidRPr="00DF2B83">
        <w:rPr>
          <w:rFonts w:cs="Arial"/>
          <w:sz w:val="21"/>
          <w:szCs w:val="21"/>
        </w:rPr>
        <w:t>‰ při 400 ppm CO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 xml:space="preserve"> s 5minutovým průměrováním.</w:t>
      </w:r>
    </w:p>
    <w:p w14:paraId="2B28A38D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Přesnost měření </w:t>
      </w:r>
      <w:r w:rsidRPr="00DF2B83">
        <w:rPr>
          <w:rFonts w:cs="Arial"/>
          <w:bCs/>
          <w:sz w:val="21"/>
          <w:szCs w:val="21"/>
        </w:rPr>
        <w:t>δ</w:t>
      </w:r>
      <w:r w:rsidRPr="00DF2B83">
        <w:rPr>
          <w:rFonts w:cs="Arial"/>
          <w:bCs/>
          <w:sz w:val="21"/>
          <w:szCs w:val="21"/>
          <w:vertAlign w:val="superscript"/>
        </w:rPr>
        <w:t>18</w:t>
      </w:r>
      <w:r w:rsidRPr="00DF2B83">
        <w:rPr>
          <w:rFonts w:cs="Arial"/>
          <w:bCs/>
          <w:sz w:val="21"/>
          <w:szCs w:val="21"/>
        </w:rPr>
        <w:t xml:space="preserve">O lepší než 0,2 </w:t>
      </w:r>
      <w:r w:rsidRPr="00DF2B83">
        <w:rPr>
          <w:rFonts w:cs="Arial"/>
          <w:sz w:val="21"/>
          <w:szCs w:val="21"/>
        </w:rPr>
        <w:t>‰ při 400 ppm CO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 xml:space="preserve"> s 5minutovým průměrováním.</w:t>
      </w:r>
    </w:p>
    <w:p w14:paraId="51172998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Přesnost měření </w:t>
      </w:r>
      <w:r w:rsidRPr="00DF2B83">
        <w:rPr>
          <w:rFonts w:cs="Arial"/>
          <w:bCs/>
          <w:sz w:val="21"/>
          <w:szCs w:val="21"/>
        </w:rPr>
        <w:t>δ</w:t>
      </w:r>
      <w:r w:rsidRPr="00DF2B83">
        <w:rPr>
          <w:rFonts w:cs="Arial"/>
          <w:bCs/>
          <w:sz w:val="21"/>
          <w:szCs w:val="21"/>
          <w:vertAlign w:val="superscript"/>
        </w:rPr>
        <w:t>17</w:t>
      </w:r>
      <w:r w:rsidRPr="00DF2B83">
        <w:rPr>
          <w:rFonts w:cs="Arial"/>
          <w:bCs/>
          <w:sz w:val="21"/>
          <w:szCs w:val="21"/>
        </w:rPr>
        <w:t xml:space="preserve">O lepší než 0,5 </w:t>
      </w:r>
      <w:r w:rsidRPr="00DF2B83">
        <w:rPr>
          <w:rFonts w:cs="Arial"/>
          <w:sz w:val="21"/>
          <w:szCs w:val="21"/>
        </w:rPr>
        <w:t>‰ při 400 ppm CO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 xml:space="preserve"> s 5minutovým průměrováním.</w:t>
      </w:r>
    </w:p>
    <w:p w14:paraId="00A3901A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Maximální drift měřených hodnot </w:t>
      </w:r>
      <w:r w:rsidRPr="00DF2B83">
        <w:rPr>
          <w:rFonts w:cs="Arial"/>
          <w:bCs/>
          <w:sz w:val="21"/>
          <w:szCs w:val="21"/>
        </w:rPr>
        <w:t>δ</w:t>
      </w:r>
      <w:r w:rsidRPr="00DF2B83">
        <w:rPr>
          <w:rFonts w:cs="Arial"/>
          <w:bCs/>
          <w:sz w:val="21"/>
          <w:szCs w:val="21"/>
          <w:vertAlign w:val="superscript"/>
        </w:rPr>
        <w:t>13</w:t>
      </w:r>
      <w:r w:rsidRPr="00DF2B83">
        <w:rPr>
          <w:rFonts w:cs="Arial"/>
          <w:bCs/>
          <w:sz w:val="21"/>
          <w:szCs w:val="21"/>
        </w:rPr>
        <w:t xml:space="preserve">C menší než 2 </w:t>
      </w:r>
      <w:r w:rsidRPr="00DF2B83">
        <w:rPr>
          <w:rFonts w:cs="Arial"/>
          <w:sz w:val="21"/>
          <w:szCs w:val="21"/>
        </w:rPr>
        <w:t>‰ za 24 hodin.</w:t>
      </w:r>
    </w:p>
    <w:p w14:paraId="1DDBEDCB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Maximální drift měřených hodnot </w:t>
      </w:r>
      <w:r w:rsidRPr="00DF2B83">
        <w:rPr>
          <w:rFonts w:cs="Arial"/>
          <w:bCs/>
          <w:sz w:val="21"/>
          <w:szCs w:val="21"/>
        </w:rPr>
        <w:t>δ</w:t>
      </w:r>
      <w:r w:rsidRPr="00DF2B83">
        <w:rPr>
          <w:rFonts w:cs="Arial"/>
          <w:bCs/>
          <w:sz w:val="21"/>
          <w:szCs w:val="21"/>
          <w:vertAlign w:val="superscript"/>
        </w:rPr>
        <w:t>18</w:t>
      </w:r>
      <w:r w:rsidRPr="00DF2B83">
        <w:rPr>
          <w:rFonts w:cs="Arial"/>
          <w:bCs/>
          <w:sz w:val="21"/>
          <w:szCs w:val="21"/>
        </w:rPr>
        <w:t xml:space="preserve">O menší než 5 </w:t>
      </w:r>
      <w:r w:rsidRPr="00DF2B83">
        <w:rPr>
          <w:rFonts w:cs="Arial"/>
          <w:sz w:val="21"/>
          <w:szCs w:val="21"/>
        </w:rPr>
        <w:t>‰ za 24 hodin.</w:t>
      </w:r>
    </w:p>
    <w:p w14:paraId="193E4F01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Maximální drift měřených hodnot </w:t>
      </w:r>
      <w:r w:rsidRPr="00DF2B83">
        <w:rPr>
          <w:rFonts w:cs="Arial"/>
          <w:bCs/>
          <w:sz w:val="21"/>
          <w:szCs w:val="21"/>
        </w:rPr>
        <w:t>δ</w:t>
      </w:r>
      <w:r w:rsidRPr="00DF2B83">
        <w:rPr>
          <w:rFonts w:cs="Arial"/>
          <w:bCs/>
          <w:sz w:val="21"/>
          <w:szCs w:val="21"/>
          <w:vertAlign w:val="superscript"/>
        </w:rPr>
        <w:t>17</w:t>
      </w:r>
      <w:r w:rsidRPr="00DF2B83">
        <w:rPr>
          <w:rFonts w:cs="Arial"/>
          <w:bCs/>
          <w:sz w:val="21"/>
          <w:szCs w:val="21"/>
        </w:rPr>
        <w:t xml:space="preserve">O menší než 14 </w:t>
      </w:r>
      <w:r w:rsidRPr="00DF2B83">
        <w:rPr>
          <w:rFonts w:cs="Arial"/>
          <w:sz w:val="21"/>
          <w:szCs w:val="21"/>
        </w:rPr>
        <w:t>‰ za 24 hodin.</w:t>
      </w:r>
    </w:p>
    <w:p w14:paraId="06699892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Rozsah měření koncentrace CO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 xml:space="preserve"> minimálně 50-2 000 ppm.</w:t>
      </w:r>
    </w:p>
    <w:p w14:paraId="1C0EC18A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Rozsah měření koncentrace H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>O minimálně 0-60 000 ppm.</w:t>
      </w:r>
    </w:p>
    <w:p w14:paraId="7D239891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Rozsah měření koncentrace NH</w:t>
      </w:r>
      <w:r w:rsidRPr="00DF2B83">
        <w:rPr>
          <w:rFonts w:cs="Arial"/>
          <w:sz w:val="21"/>
          <w:szCs w:val="21"/>
          <w:vertAlign w:val="subscript"/>
        </w:rPr>
        <w:t>3</w:t>
      </w:r>
      <w:r w:rsidRPr="00DF2B83">
        <w:rPr>
          <w:rFonts w:cs="Arial"/>
          <w:sz w:val="21"/>
          <w:szCs w:val="21"/>
        </w:rPr>
        <w:t xml:space="preserve"> minimálně 0-30 000 ppb.</w:t>
      </w:r>
    </w:p>
    <w:p w14:paraId="59A0FB88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Přesnost měření koncentrace CO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 xml:space="preserve"> lepší než 0,06 ppm při koncentraci CO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> 400 ppm s 5minutovým průměrováním.</w:t>
      </w:r>
    </w:p>
    <w:p w14:paraId="0FDE7497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lastRenderedPageBreak/>
        <w:t>Přesnost měření koncentrace H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>O lepší než 22 ppm při koncentraci H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>O 10 000 ppm s 5sekundovým průměrováním.</w:t>
      </w:r>
    </w:p>
    <w:p w14:paraId="642B72B6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Přesnost měření koncentrace NH</w:t>
      </w:r>
      <w:r w:rsidRPr="00DF2B83">
        <w:rPr>
          <w:rFonts w:cs="Arial"/>
          <w:sz w:val="21"/>
          <w:szCs w:val="21"/>
          <w:vertAlign w:val="subscript"/>
        </w:rPr>
        <w:t>3</w:t>
      </w:r>
      <w:r w:rsidRPr="00DF2B83">
        <w:rPr>
          <w:rFonts w:cs="Arial"/>
          <w:sz w:val="21"/>
          <w:szCs w:val="21"/>
        </w:rPr>
        <w:t xml:space="preserve"> lepší než 3 ppb při koncentraci NH</w:t>
      </w:r>
      <w:r w:rsidRPr="00DF2B83">
        <w:rPr>
          <w:rFonts w:cs="Arial"/>
          <w:sz w:val="21"/>
          <w:szCs w:val="21"/>
          <w:vertAlign w:val="subscript"/>
        </w:rPr>
        <w:t>3</w:t>
      </w:r>
      <w:r w:rsidRPr="00DF2B83">
        <w:rPr>
          <w:rFonts w:cs="Arial"/>
          <w:sz w:val="21"/>
          <w:szCs w:val="21"/>
        </w:rPr>
        <w:t xml:space="preserve"> 300 ppb s 1 sekundovým průměrováním.</w:t>
      </w:r>
    </w:p>
    <w:p w14:paraId="71DC903F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Maximální drift měřené koncentrace CO</w:t>
      </w:r>
      <w:r w:rsidRPr="00DF2B83">
        <w:rPr>
          <w:rFonts w:cs="Arial"/>
          <w:sz w:val="21"/>
          <w:szCs w:val="21"/>
          <w:vertAlign w:val="subscript"/>
        </w:rPr>
        <w:t>2</w:t>
      </w:r>
      <w:r w:rsidRPr="00DF2B83">
        <w:rPr>
          <w:rFonts w:cs="Arial"/>
          <w:sz w:val="21"/>
          <w:szCs w:val="21"/>
        </w:rPr>
        <w:t xml:space="preserve"> menší než 0,6 ppm za 24 hodin.</w:t>
      </w:r>
    </w:p>
    <w:p w14:paraId="3596C2D0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Minimální frekvence měření 1 Hz.</w:t>
      </w:r>
    </w:p>
    <w:p w14:paraId="73BC7E33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Maximální hmotnost přístroje včetně baterií 11 kg.</w:t>
      </w:r>
    </w:p>
    <w:p w14:paraId="21426629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Maximální rozměry přístroje 55 x 35 x 20 cm. </w:t>
      </w:r>
    </w:p>
    <w:p w14:paraId="0B5601A6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Výdrž baterie při měření minimálně 8 hodin.</w:t>
      </w:r>
    </w:p>
    <w:p w14:paraId="7D89ED1B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Možnost výměny baterie během měření.</w:t>
      </w:r>
    </w:p>
    <w:p w14:paraId="2F5A20AB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Možnost práce s externím napájením.</w:t>
      </w:r>
    </w:p>
    <w:p w14:paraId="2FA3FD57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Možnost dálkového přenosu dat pomocí GSM modulu.</w:t>
      </w:r>
    </w:p>
    <w:p w14:paraId="413AB571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Možnost připojení přes Wi-Fi a Ethernet.</w:t>
      </w:r>
    </w:p>
    <w:p w14:paraId="044F8ACB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Integrovaný displej zobrazující aktuální hodnoty měření a stavové informace o přístroji.</w:t>
      </w:r>
    </w:p>
    <w:p w14:paraId="7A8C3FF2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>Minimální rozsah pracovních teplot -20 až + 42°C.</w:t>
      </w:r>
    </w:p>
    <w:p w14:paraId="717E1B93" w14:textId="77777777" w:rsidR="00DF2B83" w:rsidRPr="00DF2B83" w:rsidRDefault="00DF2B83" w:rsidP="00DF2B83">
      <w:pPr>
        <w:pStyle w:val="Odstavecseseznamem"/>
        <w:numPr>
          <w:ilvl w:val="0"/>
          <w:numId w:val="39"/>
        </w:numPr>
        <w:contextualSpacing w:val="0"/>
        <w:rPr>
          <w:rFonts w:cs="Arial"/>
          <w:sz w:val="21"/>
          <w:szCs w:val="21"/>
        </w:rPr>
      </w:pPr>
      <w:r w:rsidRPr="00DF2B83">
        <w:rPr>
          <w:rFonts w:cs="Arial"/>
          <w:sz w:val="21"/>
          <w:szCs w:val="21"/>
        </w:rPr>
        <w:t xml:space="preserve">Součástí dodávky musí být uvedení do funkčního stavu v místě realizace a zaškolení v rozsahu potřebném pro osvojení všech funkcí pro minimálně 3 osoby. </w:t>
      </w:r>
    </w:p>
    <w:p w14:paraId="0DF4CF91" w14:textId="77777777" w:rsidR="00A431BA" w:rsidRPr="00E453CA" w:rsidRDefault="00A431BA" w:rsidP="00796AB1">
      <w:pPr>
        <w:ind w:left="0" w:firstLine="0"/>
      </w:pPr>
    </w:p>
    <w:sectPr w:rsidR="00A431BA" w:rsidRPr="00E453CA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73A94" w14:textId="77777777" w:rsidR="00AF43CC" w:rsidRDefault="00AF43CC" w:rsidP="00E837B7">
      <w:pPr>
        <w:spacing w:before="0" w:after="0"/>
      </w:pPr>
      <w:r>
        <w:separator/>
      </w:r>
    </w:p>
  </w:endnote>
  <w:endnote w:type="continuationSeparator" w:id="0">
    <w:p w14:paraId="6C787E65" w14:textId="77777777" w:rsidR="00AF43CC" w:rsidRDefault="00AF43CC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ADAD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027C9460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0054E824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F3398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F3398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16EC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7C611A72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44088E4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F3398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F3398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A82A" w14:textId="77777777" w:rsidR="00AF43CC" w:rsidRDefault="00AF43CC" w:rsidP="00E837B7">
      <w:pPr>
        <w:spacing w:before="0" w:after="0"/>
      </w:pPr>
      <w:r>
        <w:separator/>
      </w:r>
    </w:p>
  </w:footnote>
  <w:footnote w:type="continuationSeparator" w:id="0">
    <w:p w14:paraId="2725AD86" w14:textId="77777777" w:rsidR="00AF43CC" w:rsidRDefault="00AF43CC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8F4E" w14:textId="77777777" w:rsidR="00EF16B8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1C01CA">
      <w:rPr>
        <w:b/>
        <w:sz w:val="18"/>
        <w:szCs w:val="18"/>
      </w:rPr>
      <w:t>lynové analyzátory 2024 – Část 2</w:t>
    </w:r>
    <w:r>
      <w:rPr>
        <w:b/>
        <w:sz w:val="18"/>
        <w:szCs w:val="18"/>
      </w:rPr>
      <w:t xml:space="preserve"> – </w:t>
    </w:r>
    <w:r w:rsidR="001C01CA">
      <w:rPr>
        <w:b/>
        <w:sz w:val="18"/>
        <w:szCs w:val="18"/>
      </w:rPr>
      <w:t>Přenosný analyzátor izotopového poměru</w:t>
    </w:r>
  </w:p>
  <w:p w14:paraId="69FFA5EF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0F8DB2BF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A26B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CAEA522" wp14:editId="4301E5F7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E5B658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ADFFBB0" wp14:editId="3DC7694D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10EC8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36F0ED11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6" w15:restartNumberingAfterBreak="0">
    <w:nsid w:val="4A252269"/>
    <w:multiLevelType w:val="multilevel"/>
    <w:tmpl w:val="217E25BC"/>
    <w:numStyleLink w:val="Smlouvy"/>
  </w:abstractNum>
  <w:abstractNum w:abstractNumId="1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9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1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2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534509">
    <w:abstractNumId w:val="6"/>
  </w:num>
  <w:num w:numId="2" w16cid:durableId="1114792559">
    <w:abstractNumId w:val="17"/>
  </w:num>
  <w:num w:numId="3" w16cid:durableId="889533227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201675979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2051801789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70609952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356779651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775751003">
    <w:abstractNumId w:val="1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880312026">
    <w:abstractNumId w:val="28"/>
  </w:num>
  <w:num w:numId="10" w16cid:durableId="1780176803">
    <w:abstractNumId w:val="14"/>
  </w:num>
  <w:num w:numId="11" w16cid:durableId="1213736107">
    <w:abstractNumId w:val="30"/>
  </w:num>
  <w:num w:numId="12" w16cid:durableId="1358504448">
    <w:abstractNumId w:val="15"/>
  </w:num>
  <w:num w:numId="13" w16cid:durableId="1070350103">
    <w:abstractNumId w:val="16"/>
  </w:num>
  <w:num w:numId="14" w16cid:durableId="779420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0319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727026">
    <w:abstractNumId w:val="29"/>
  </w:num>
  <w:num w:numId="17" w16cid:durableId="1414357402">
    <w:abstractNumId w:val="27"/>
  </w:num>
  <w:num w:numId="18" w16cid:durableId="1584871842">
    <w:abstractNumId w:val="32"/>
  </w:num>
  <w:num w:numId="19" w16cid:durableId="588581007">
    <w:abstractNumId w:val="19"/>
  </w:num>
  <w:num w:numId="20" w16cid:durableId="1493988056">
    <w:abstractNumId w:val="2"/>
  </w:num>
  <w:num w:numId="21" w16cid:durableId="717626614">
    <w:abstractNumId w:val="23"/>
  </w:num>
  <w:num w:numId="22" w16cid:durableId="477722925">
    <w:abstractNumId w:val="12"/>
  </w:num>
  <w:num w:numId="23" w16cid:durableId="98573082">
    <w:abstractNumId w:val="26"/>
  </w:num>
  <w:num w:numId="24" w16cid:durableId="1537162779">
    <w:abstractNumId w:val="25"/>
  </w:num>
  <w:num w:numId="25" w16cid:durableId="517432298">
    <w:abstractNumId w:val="4"/>
  </w:num>
  <w:num w:numId="26" w16cid:durableId="2034502245">
    <w:abstractNumId w:val="8"/>
  </w:num>
  <w:num w:numId="27" w16cid:durableId="300039107">
    <w:abstractNumId w:val="10"/>
  </w:num>
  <w:num w:numId="28" w16cid:durableId="855190454">
    <w:abstractNumId w:val="20"/>
  </w:num>
  <w:num w:numId="29" w16cid:durableId="111945921">
    <w:abstractNumId w:val="9"/>
  </w:num>
  <w:num w:numId="30" w16cid:durableId="1678583324">
    <w:abstractNumId w:val="7"/>
  </w:num>
  <w:num w:numId="31" w16cid:durableId="704449152">
    <w:abstractNumId w:val="13"/>
  </w:num>
  <w:num w:numId="32" w16cid:durableId="366611017">
    <w:abstractNumId w:val="24"/>
  </w:num>
  <w:num w:numId="33" w16cid:durableId="48846057">
    <w:abstractNumId w:val="5"/>
  </w:num>
  <w:num w:numId="34" w16cid:durableId="2119173359">
    <w:abstractNumId w:val="11"/>
  </w:num>
  <w:num w:numId="35" w16cid:durableId="637763441">
    <w:abstractNumId w:val="0"/>
  </w:num>
  <w:num w:numId="36" w16cid:durableId="1686974954">
    <w:abstractNumId w:val="31"/>
  </w:num>
  <w:num w:numId="37" w16cid:durableId="991760967">
    <w:abstractNumId w:val="1"/>
  </w:num>
  <w:num w:numId="38" w16cid:durableId="128283955">
    <w:abstractNumId w:val="18"/>
  </w:num>
  <w:num w:numId="39" w16cid:durableId="183134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244D4"/>
    <w:rsid w:val="00145407"/>
    <w:rsid w:val="001468AC"/>
    <w:rsid w:val="001576F7"/>
    <w:rsid w:val="001723C1"/>
    <w:rsid w:val="0017523F"/>
    <w:rsid w:val="00192E96"/>
    <w:rsid w:val="0019664E"/>
    <w:rsid w:val="001B445F"/>
    <w:rsid w:val="001C01CA"/>
    <w:rsid w:val="001C2981"/>
    <w:rsid w:val="001C45C8"/>
    <w:rsid w:val="001F5F10"/>
    <w:rsid w:val="00206064"/>
    <w:rsid w:val="00213072"/>
    <w:rsid w:val="002218A9"/>
    <w:rsid w:val="002266F4"/>
    <w:rsid w:val="00231345"/>
    <w:rsid w:val="0024072D"/>
    <w:rsid w:val="0025320E"/>
    <w:rsid w:val="002769BD"/>
    <w:rsid w:val="00277399"/>
    <w:rsid w:val="00290C01"/>
    <w:rsid w:val="00293780"/>
    <w:rsid w:val="002A10CE"/>
    <w:rsid w:val="002A4BE0"/>
    <w:rsid w:val="002B5980"/>
    <w:rsid w:val="002C610F"/>
    <w:rsid w:val="002D1D3E"/>
    <w:rsid w:val="002F0830"/>
    <w:rsid w:val="002F5266"/>
    <w:rsid w:val="002F5DC3"/>
    <w:rsid w:val="003013CD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1E9B"/>
    <w:rsid w:val="003E64C4"/>
    <w:rsid w:val="003E6BE8"/>
    <w:rsid w:val="004054AA"/>
    <w:rsid w:val="00410FD5"/>
    <w:rsid w:val="00414754"/>
    <w:rsid w:val="00414D2E"/>
    <w:rsid w:val="0041559E"/>
    <w:rsid w:val="004218BE"/>
    <w:rsid w:val="004640C0"/>
    <w:rsid w:val="00464F5E"/>
    <w:rsid w:val="00473099"/>
    <w:rsid w:val="00474362"/>
    <w:rsid w:val="0049146C"/>
    <w:rsid w:val="00496F37"/>
    <w:rsid w:val="004A2A08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9726C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2454E"/>
    <w:rsid w:val="00626E6A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C30B5"/>
    <w:rsid w:val="006C6BFB"/>
    <w:rsid w:val="006C7348"/>
    <w:rsid w:val="006D532D"/>
    <w:rsid w:val="006D62AC"/>
    <w:rsid w:val="006E093F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9794B"/>
    <w:rsid w:val="007A2C39"/>
    <w:rsid w:val="007B3B9A"/>
    <w:rsid w:val="007C0555"/>
    <w:rsid w:val="007C5100"/>
    <w:rsid w:val="007D35CE"/>
    <w:rsid w:val="007D768E"/>
    <w:rsid w:val="007E22BA"/>
    <w:rsid w:val="007E5265"/>
    <w:rsid w:val="007E56FC"/>
    <w:rsid w:val="007F3398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4287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E1FAF"/>
    <w:rsid w:val="00AE5A30"/>
    <w:rsid w:val="00AF43CC"/>
    <w:rsid w:val="00AF7BFD"/>
    <w:rsid w:val="00B024CF"/>
    <w:rsid w:val="00B04B19"/>
    <w:rsid w:val="00B113DB"/>
    <w:rsid w:val="00B15EAA"/>
    <w:rsid w:val="00B161F7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13288"/>
    <w:rsid w:val="00C30DD6"/>
    <w:rsid w:val="00C3247A"/>
    <w:rsid w:val="00C3598F"/>
    <w:rsid w:val="00C43618"/>
    <w:rsid w:val="00C43690"/>
    <w:rsid w:val="00C459DF"/>
    <w:rsid w:val="00C45C0D"/>
    <w:rsid w:val="00C73BF4"/>
    <w:rsid w:val="00C85789"/>
    <w:rsid w:val="00C92309"/>
    <w:rsid w:val="00C9276D"/>
    <w:rsid w:val="00C94A2B"/>
    <w:rsid w:val="00CA2907"/>
    <w:rsid w:val="00CB02FF"/>
    <w:rsid w:val="00CB35F7"/>
    <w:rsid w:val="00CC24DC"/>
    <w:rsid w:val="00CC3782"/>
    <w:rsid w:val="00CC5DB3"/>
    <w:rsid w:val="00CC6B14"/>
    <w:rsid w:val="00CD7F11"/>
    <w:rsid w:val="00CE3DDD"/>
    <w:rsid w:val="00D01D00"/>
    <w:rsid w:val="00D05A8A"/>
    <w:rsid w:val="00D11BAD"/>
    <w:rsid w:val="00D14FE1"/>
    <w:rsid w:val="00D23F1A"/>
    <w:rsid w:val="00D36E39"/>
    <w:rsid w:val="00D554FA"/>
    <w:rsid w:val="00D643DA"/>
    <w:rsid w:val="00D72B64"/>
    <w:rsid w:val="00D82285"/>
    <w:rsid w:val="00DA7E4F"/>
    <w:rsid w:val="00DB6E45"/>
    <w:rsid w:val="00DC1641"/>
    <w:rsid w:val="00DD4560"/>
    <w:rsid w:val="00DD6DDF"/>
    <w:rsid w:val="00DE5A99"/>
    <w:rsid w:val="00DF22BF"/>
    <w:rsid w:val="00DF2B83"/>
    <w:rsid w:val="00DF5157"/>
    <w:rsid w:val="00DF5FB4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97320"/>
    <w:rsid w:val="00EA13EF"/>
    <w:rsid w:val="00EB2909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44732"/>
    <w:rsid w:val="00F50A74"/>
    <w:rsid w:val="00F51721"/>
    <w:rsid w:val="00F57D05"/>
    <w:rsid w:val="00F641CA"/>
    <w:rsid w:val="00F679CA"/>
    <w:rsid w:val="00F715DC"/>
    <w:rsid w:val="00F74936"/>
    <w:rsid w:val="00F83476"/>
    <w:rsid w:val="00F90F3C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6A15B"/>
  <w15:docId w15:val="{2FFA00D0-4514-4EEB-B8A4-BF1C81B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1893-29A9-4C06-A3D4-9D7A3BEA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13708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Lenka Dusová</cp:lastModifiedBy>
  <cp:revision>3</cp:revision>
  <cp:lastPrinted>2024-05-20T13:04:00Z</cp:lastPrinted>
  <dcterms:created xsi:type="dcterms:W3CDTF">2024-07-01T12:24:00Z</dcterms:created>
  <dcterms:modified xsi:type="dcterms:W3CDTF">2024-07-03T11:15:00Z</dcterms:modified>
</cp:coreProperties>
</file>