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ED" w:rsidRDefault="001861EF">
      <w:pPr>
        <w:numPr>
          <w:ilvl w:val="0"/>
          <w:numId w:val="1"/>
        </w:numPr>
        <w:spacing w:after="0" w:line="265" w:lineRule="auto"/>
        <w:ind w:hanging="701"/>
        <w:jc w:val="left"/>
      </w:pPr>
      <w:bookmarkStart w:id="0" w:name="_GoBack"/>
      <w:bookmarkEnd w:id="0"/>
      <w:r>
        <w:rPr>
          <w:sz w:val="26"/>
        </w:rPr>
        <w:t>Ředitelství silnic a dálnic ČR</w:t>
      </w:r>
    </w:p>
    <w:p w:rsidR="009F32ED" w:rsidRDefault="001861EF">
      <w:pPr>
        <w:spacing w:after="29" w:line="230" w:lineRule="auto"/>
        <w:ind w:left="700" w:right="119" w:hanging="5"/>
      </w:pPr>
      <w:r>
        <w:t xml:space="preserve">Na Pankráci 546/56, Praha 4 </w:t>
      </w:r>
      <w:r>
        <w:rPr>
          <w:vertAlign w:val="superscript"/>
        </w:rPr>
        <w:t>0</w:t>
      </w:r>
      <w:r>
        <w:t>- Nusle, 145 05,</w:t>
      </w:r>
    </w:p>
    <w:p w:rsidR="009F32ED" w:rsidRDefault="001861EF">
      <w:pPr>
        <w:spacing w:after="33" w:line="259" w:lineRule="auto"/>
        <w:ind w:left="710" w:firstLine="0"/>
        <w:jc w:val="left"/>
      </w:pPr>
      <w:r>
        <w:rPr>
          <w:noProof/>
        </w:rPr>
        <w:drawing>
          <wp:inline distT="0" distB="0" distL="0" distR="0">
            <wp:extent cx="2206752" cy="314029"/>
            <wp:effectExtent l="0" t="0" r="0" b="0"/>
            <wp:docPr id="9555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3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ED" w:rsidRDefault="001861EF">
      <w:pPr>
        <w:spacing w:after="280" w:line="230" w:lineRule="auto"/>
        <w:ind w:left="700" w:right="6647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1152144</wp:posOffset>
            </wp:positionH>
            <wp:positionV relativeFrom="paragraph">
              <wp:posOffset>192171</wp:posOffset>
            </wp:positionV>
            <wp:extent cx="1926336" cy="280492"/>
            <wp:effectExtent l="0" t="0" r="0" b="0"/>
            <wp:wrapSquare wrapText="bothSides"/>
            <wp:docPr id="5764" name="Picture 5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" name="Picture 57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28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IC: 65993390 Bankovní spojení: Číslo účtu:</w:t>
      </w:r>
    </w:p>
    <w:p w:rsidR="009F32ED" w:rsidRDefault="001861EF">
      <w:pPr>
        <w:spacing w:after="489" w:line="265" w:lineRule="auto"/>
        <w:ind w:left="696" w:hanging="10"/>
        <w:jc w:val="left"/>
      </w:pPr>
      <w:r>
        <w:rPr>
          <w:sz w:val="26"/>
        </w:rPr>
        <w:t>jako pronajímatel</w:t>
      </w:r>
    </w:p>
    <w:p w:rsidR="009F32ED" w:rsidRDefault="001861EF">
      <w:pPr>
        <w:spacing w:after="582" w:line="230" w:lineRule="auto"/>
        <w:ind w:left="1421" w:right="119" w:hanging="5"/>
      </w:pPr>
      <w:r>
        <w:t>a</w:t>
      </w:r>
    </w:p>
    <w:p w:rsidR="009F32ED" w:rsidRDefault="001861EF">
      <w:pPr>
        <w:numPr>
          <w:ilvl w:val="0"/>
          <w:numId w:val="1"/>
        </w:numPr>
        <w:spacing w:after="0" w:line="265" w:lineRule="auto"/>
        <w:ind w:hanging="701"/>
        <w:jc w:val="left"/>
      </w:pPr>
      <w:r>
        <w:rPr>
          <w:sz w:val="26"/>
        </w:rPr>
        <w:t>DS engineering PLUS, a.s.</w:t>
      </w:r>
    </w:p>
    <w:p w:rsidR="009F32ED" w:rsidRDefault="001861EF">
      <w:pPr>
        <w:spacing w:after="11" w:line="230" w:lineRule="auto"/>
        <w:ind w:left="700" w:right="1401" w:hanging="5"/>
      </w:pPr>
      <w:r>
        <w:t>zapsaná v obchodním rejstříku vedeném Městským soudem v Praze, oddíl B, vložka 12316</w:t>
      </w:r>
    </w:p>
    <w:p w:rsidR="009F32ED" w:rsidRDefault="001861EF">
      <w:pPr>
        <w:spacing w:after="280" w:line="230" w:lineRule="auto"/>
        <w:ind w:left="700" w:right="4555" w:hanging="5"/>
      </w:pPr>
      <w:r>
        <w:t>Za Mototechnou 1 114/4, 155 00 Praha 5 IČ : 27955834 zastoupená</w:t>
      </w:r>
      <w:r>
        <w:rPr>
          <w:noProof/>
        </w:rPr>
        <w:drawing>
          <wp:inline distT="0" distB="0" distL="0" distR="0">
            <wp:extent cx="2164080" cy="307932"/>
            <wp:effectExtent l="0" t="0" r="0" b="0"/>
            <wp:docPr id="5765" name="Picture 5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" name="Picture 57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3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ED" w:rsidRDefault="001861EF">
      <w:pPr>
        <w:spacing w:after="760" w:line="265" w:lineRule="auto"/>
        <w:ind w:left="677" w:hanging="10"/>
        <w:jc w:val="left"/>
      </w:pPr>
      <w:r>
        <w:rPr>
          <w:sz w:val="26"/>
        </w:rPr>
        <w:t>jako nájemce</w:t>
      </w:r>
    </w:p>
    <w:p w:rsidR="009F32ED" w:rsidRDefault="001861EF">
      <w:pPr>
        <w:spacing w:after="594" w:line="259" w:lineRule="auto"/>
        <w:ind w:left="0" w:right="119" w:firstLine="0"/>
        <w:jc w:val="center"/>
      </w:pPr>
      <w:r>
        <w:t>uzavírají níže uvedeného dne, měsíce a roku</w:t>
      </w:r>
    </w:p>
    <w:p w:rsidR="009F32ED" w:rsidRDefault="001861EF">
      <w:pPr>
        <w:spacing w:after="385" w:line="216" w:lineRule="auto"/>
        <w:ind w:left="10" w:right="148" w:hanging="10"/>
        <w:jc w:val="center"/>
      </w:pPr>
      <w:r>
        <w:rPr>
          <w:sz w:val="34"/>
        </w:rPr>
        <w:t>DODATEK č. 4</w:t>
      </w:r>
    </w:p>
    <w:p w:rsidR="009F32ED" w:rsidRDefault="001861EF">
      <w:pPr>
        <w:spacing w:after="654" w:line="216" w:lineRule="auto"/>
        <w:ind w:left="10" w:hanging="10"/>
        <w:jc w:val="center"/>
      </w:pPr>
      <w:r>
        <w:rPr>
          <w:sz w:val="34"/>
        </w:rPr>
        <w:t xml:space="preserve">ke SMLOUVĚ O NÁJMU </w:t>
      </w:r>
      <w:r>
        <w:rPr>
          <w:noProof/>
        </w:rPr>
        <w:drawing>
          <wp:inline distT="0" distB="0" distL="0" distR="0">
            <wp:extent cx="758952" cy="149392"/>
            <wp:effectExtent l="0" t="0" r="0" b="0"/>
            <wp:docPr id="5766" name="Picture 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" name="Picture 5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4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dne </w:t>
      </w:r>
      <w:proofErr w:type="gramStart"/>
      <w:r>
        <w:rPr>
          <w:sz w:val="34"/>
        </w:rPr>
        <w:t>17.9.2007</w:t>
      </w:r>
      <w:proofErr w:type="gramEnd"/>
      <w:r>
        <w:rPr>
          <w:sz w:val="34"/>
        </w:rPr>
        <w:t>, ve znění Dodatků č. 1 až 3.</w:t>
      </w:r>
    </w:p>
    <w:p w:rsidR="009F32ED" w:rsidRDefault="001861EF">
      <w:pPr>
        <w:spacing w:after="217" w:line="259" w:lineRule="auto"/>
        <w:ind w:left="10" w:right="163" w:hanging="10"/>
        <w:jc w:val="center"/>
      </w:pPr>
      <w:r>
        <w:rPr>
          <w:sz w:val="26"/>
        </w:rPr>
        <w:t>1.</w:t>
      </w:r>
    </w:p>
    <w:p w:rsidR="009F32ED" w:rsidRDefault="001861EF">
      <w:pPr>
        <w:spacing w:after="305" w:line="259" w:lineRule="auto"/>
        <w:ind w:left="10" w:right="182" w:hanging="10"/>
        <w:jc w:val="center"/>
      </w:pPr>
      <w:r>
        <w:rPr>
          <w:sz w:val="26"/>
        </w:rPr>
        <w:t>Předmět dodatku</w:t>
      </w:r>
    </w:p>
    <w:p w:rsidR="009F32ED" w:rsidRDefault="001861EF">
      <w:pPr>
        <w:spacing w:after="321" w:line="230" w:lineRule="auto"/>
        <w:ind w:left="657" w:right="119" w:hanging="326"/>
      </w:pPr>
      <w:r>
        <w:t>l. Na základě dohody obou smluvních stran se předmět nájmu sjednaný ve Smlouvě o nájmu, ve znění Dodatků č. 1 - 3, rozšiřuje s účinností od 1. listopadu 2016 0 kancelář č. 13 0 výměře 16,66 m</w:t>
      </w:r>
      <w:r>
        <w:rPr>
          <w:vertAlign w:val="superscript"/>
        </w:rPr>
        <w:t xml:space="preserve">2 </w:t>
      </w:r>
      <w:r>
        <w:t>umístěnou rovněž v přízemí provozní budovy Ředitelství silnic a</w:t>
      </w:r>
      <w:r>
        <w:t xml:space="preserve"> dálnic ČR, Správa Plzeň.</w:t>
      </w:r>
    </w:p>
    <w:p w:rsidR="009F32ED" w:rsidRDefault="001861EF">
      <w:pPr>
        <w:spacing w:after="929" w:line="230" w:lineRule="auto"/>
        <w:ind w:left="700" w:right="119" w:hanging="5"/>
      </w:pPr>
      <w:r>
        <w:t>Celková výměra předmětu nájmu uvedená v článku I. odst. I Smlouvy o nájmu tedy nově činí 52,26 m</w:t>
      </w:r>
      <w:r>
        <w:rPr>
          <w:vertAlign w:val="superscript"/>
        </w:rPr>
        <w:t>2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5736" name="Picture 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" name="Picture 5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ED" w:rsidRDefault="001861EF">
      <w:pPr>
        <w:spacing w:after="0" w:line="259" w:lineRule="auto"/>
        <w:ind w:left="0" w:right="230" w:firstLine="0"/>
        <w:jc w:val="center"/>
      </w:pPr>
      <w:r>
        <w:rPr>
          <w:sz w:val="22"/>
        </w:rPr>
        <w:lastRenderedPageBreak/>
        <w:t>1</w:t>
      </w:r>
    </w:p>
    <w:p w:rsidR="009F32ED" w:rsidRDefault="001861EF">
      <w:pPr>
        <w:numPr>
          <w:ilvl w:val="0"/>
          <w:numId w:val="2"/>
        </w:numPr>
        <w:ind w:hanging="355"/>
      </w:pPr>
      <w:r>
        <w:t>Kancelář č. 13 se nájemci pronajímá na dobu určitou do 17. září 2020, shodně jako dosavadní kanceláře č. 11 a 12.</w:t>
      </w:r>
    </w:p>
    <w:p w:rsidR="009F32ED" w:rsidRDefault="001861EF">
      <w:pPr>
        <w:numPr>
          <w:ilvl w:val="0"/>
          <w:numId w:val="2"/>
        </w:numPr>
        <w:ind w:hanging="355"/>
      </w:pPr>
      <w:r>
        <w:t>Základní čtvrtletní nájemné kanceláří se z částky I l 997,- Kč zvyšuje na částku ve výši 17 611,- Kč.</w:t>
      </w:r>
    </w:p>
    <w:p w:rsidR="009F32ED" w:rsidRDefault="001861EF">
      <w:pPr>
        <w:numPr>
          <w:ilvl w:val="0"/>
          <w:numId w:val="2"/>
        </w:numPr>
        <w:ind w:hanging="355"/>
      </w:pPr>
      <w:r>
        <w:t xml:space="preserve">Vzhledem k tomu, že účinnost rozšíření nájmu nastává dnem </w:t>
      </w:r>
      <w:proofErr w:type="gramStart"/>
      <w:r>
        <w:t>1.11.2016</w:t>
      </w:r>
      <w:proofErr w:type="gramEnd"/>
      <w:r>
        <w:t>, zavazuje se nájemce uhradit nájemné kanceláře č. 13 za měsíce listopad a prosinec 201</w:t>
      </w:r>
      <w:r>
        <w:t>6 v úhrnné výši 3 743,- Kč na základě samostatně vystavené faktury.</w:t>
      </w:r>
    </w:p>
    <w:p w:rsidR="009F32ED" w:rsidRDefault="001861EF">
      <w:pPr>
        <w:numPr>
          <w:ilvl w:val="0"/>
          <w:numId w:val="2"/>
        </w:numPr>
        <w:ind w:hanging="355"/>
      </w:pPr>
      <w:r>
        <w:t xml:space="preserve">Měsíční úhrada za úklid podle článku III. odst. 2 Smlouvy o nájmu se z částky </w:t>
      </w:r>
      <w:proofErr w:type="gramStart"/>
      <w:r>
        <w:t>675,Kč</w:t>
      </w:r>
      <w:proofErr w:type="gramEnd"/>
      <w:r>
        <w:t xml:space="preserve"> vč. DPH zvyšuje na částku 991,- Kč vč. DPH.</w:t>
      </w:r>
    </w:p>
    <w:p w:rsidR="009F32ED" w:rsidRDefault="001861EF">
      <w:pPr>
        <w:numPr>
          <w:ilvl w:val="0"/>
          <w:numId w:val="2"/>
        </w:numPr>
        <w:spacing w:after="794"/>
        <w:ind w:hanging="355"/>
      </w:pPr>
      <w:r>
        <w:t>Zálohové platby samostatně zúčtovatelných dodávek podle člá</w:t>
      </w:r>
      <w:r>
        <w:t>nku III. odst. 3 Smlouvy o nájmu se z měsíční částky 1 070,- Kč zvyšují na částku 1 571,- Kč.</w:t>
      </w:r>
    </w:p>
    <w:p w:rsidR="009F32ED" w:rsidRDefault="001861EF">
      <w:pPr>
        <w:spacing w:after="267" w:line="259" w:lineRule="auto"/>
        <w:ind w:left="221" w:firstLine="0"/>
        <w:jc w:val="center"/>
      </w:pPr>
      <w:r>
        <w:rPr>
          <w:sz w:val="22"/>
        </w:rPr>
        <w:t>11.</w:t>
      </w:r>
    </w:p>
    <w:p w:rsidR="009F32ED" w:rsidRDefault="001861EF">
      <w:pPr>
        <w:spacing w:after="249" w:line="259" w:lineRule="auto"/>
        <w:ind w:left="236" w:hanging="10"/>
        <w:jc w:val="center"/>
      </w:pPr>
      <w:r>
        <w:rPr>
          <w:sz w:val="26"/>
        </w:rPr>
        <w:t>Závěrečná ustanovení</w:t>
      </w:r>
    </w:p>
    <w:p w:rsidR="009F32ED" w:rsidRDefault="001861EF">
      <w:pPr>
        <w:numPr>
          <w:ilvl w:val="0"/>
          <w:numId w:val="3"/>
        </w:numPr>
        <w:ind w:left="947"/>
      </w:pPr>
      <w:r>
        <w:t xml:space="preserve">Tento dodatek nabývá účinnosti dnem </w:t>
      </w:r>
      <w:proofErr w:type="gramStart"/>
      <w:r>
        <w:t>1.11.2016</w:t>
      </w:r>
      <w:proofErr w:type="gramEnd"/>
      <w:r>
        <w:t>.</w:t>
      </w:r>
    </w:p>
    <w:p w:rsidR="009F32ED" w:rsidRDefault="001861EF">
      <w:pPr>
        <w:numPr>
          <w:ilvl w:val="0"/>
          <w:numId w:val="3"/>
        </w:numPr>
        <w:ind w:left="947"/>
      </w:pPr>
      <w:r>
        <w:t>Smluvní strany prohlašují, že tento dodatek uzavřely vážně, srozumitelně, na základě pravé</w:t>
      </w:r>
      <w:r>
        <w:t xml:space="preserve"> a svobodné vůle, nikoli v tísni či za jinak nápadně nevýhodných podmínek.</w:t>
      </w:r>
    </w:p>
    <w:p w:rsidR="009F32ED" w:rsidRDefault="001861EF">
      <w:pPr>
        <w:numPr>
          <w:ilvl w:val="0"/>
          <w:numId w:val="3"/>
        </w:numPr>
        <w:ind w:left="947"/>
      </w:pPr>
      <w:r>
        <w:t>Ostatní ustanovení Smlouvy o nájmu, ve znění dodatků č. I až 3, zůstávají nedotčena.</w:t>
      </w:r>
    </w:p>
    <w:p w:rsidR="009F32ED" w:rsidRDefault="001861EF">
      <w:pPr>
        <w:numPr>
          <w:ilvl w:val="0"/>
          <w:numId w:val="3"/>
        </w:numPr>
        <w:spacing w:after="747"/>
        <w:ind w:left="947"/>
      </w:pPr>
      <w:r>
        <w:t>Dodatek č. 4 je sepsán ve čtyřech vyhotoveních, z nichž každá ze smluvních stran obdrží dvě vyho</w:t>
      </w:r>
      <w:r>
        <w:t>tovení.</w:t>
      </w:r>
    </w:p>
    <w:p w:rsidR="009F32ED" w:rsidRDefault="001861EF">
      <w:pPr>
        <w:pStyle w:val="Nadpis1"/>
        <w:ind w:left="2012" w:hanging="139"/>
      </w:pPr>
      <w:r>
        <w:lastRenderedPageBreak/>
        <w:t>4 -IO- 2016</w:t>
      </w:r>
    </w:p>
    <w:p w:rsidR="009F32ED" w:rsidRDefault="001861EF">
      <w:pPr>
        <w:spacing w:after="249" w:line="259" w:lineRule="auto"/>
        <w:ind w:left="236" w:right="86" w:hanging="10"/>
        <w:jc w:val="center"/>
      </w:pPr>
      <w:r>
        <w:rPr>
          <w:sz w:val="26"/>
        </w:rPr>
        <w:t>2</w:t>
      </w:r>
    </w:p>
    <w:sectPr w:rsidR="009F32ED">
      <w:pgSz w:w="12048" w:h="16939"/>
      <w:pgMar w:top="1944" w:right="1345" w:bottom="485" w:left="16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18"/>
    <w:multiLevelType w:val="hybridMultilevel"/>
    <w:tmpl w:val="230CE1A4"/>
    <w:lvl w:ilvl="0" w:tplc="EBF47F2A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1CDCF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8F30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40C42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CCB11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968DB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A27F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EEED3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7EB5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F4081"/>
    <w:multiLevelType w:val="hybridMultilevel"/>
    <w:tmpl w:val="C6CAD64C"/>
    <w:lvl w:ilvl="0" w:tplc="9C946826">
      <w:start w:val="2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6264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135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EA0F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869C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4802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0536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974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A78C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53A8D"/>
    <w:multiLevelType w:val="hybridMultilevel"/>
    <w:tmpl w:val="D26653E6"/>
    <w:lvl w:ilvl="0" w:tplc="1E0039CC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49CB6">
      <w:start w:val="1"/>
      <w:numFmt w:val="lowerLetter"/>
      <w:lvlText w:val="%2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A540A">
      <w:start w:val="1"/>
      <w:numFmt w:val="lowerRoman"/>
      <w:lvlText w:val="%3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EFFE2">
      <w:start w:val="1"/>
      <w:numFmt w:val="decimal"/>
      <w:lvlText w:val="%4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6A28A">
      <w:start w:val="1"/>
      <w:numFmt w:val="lowerLetter"/>
      <w:lvlText w:val="%5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AE95E">
      <w:start w:val="1"/>
      <w:numFmt w:val="lowerRoman"/>
      <w:lvlText w:val="%6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6D29E">
      <w:start w:val="1"/>
      <w:numFmt w:val="decimal"/>
      <w:lvlText w:val="%7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49ED0">
      <w:start w:val="1"/>
      <w:numFmt w:val="lowerLetter"/>
      <w:lvlText w:val="%8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CF770">
      <w:start w:val="1"/>
      <w:numFmt w:val="lowerRoman"/>
      <w:lvlText w:val="%9"/>
      <w:lvlJc w:val="left"/>
      <w:pPr>
        <w:ind w:left="7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60571"/>
    <w:multiLevelType w:val="hybridMultilevel"/>
    <w:tmpl w:val="C5AE2C88"/>
    <w:lvl w:ilvl="0" w:tplc="BEF8AA1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2473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C0A5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274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A51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C28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A90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0D5F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EA2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ED"/>
    <w:rsid w:val="001861EF"/>
    <w:rsid w:val="009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229C-EC1D-4A8B-9D5A-D7FACE1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8" w:line="248" w:lineRule="auto"/>
      <w:ind w:left="943" w:hanging="3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4776"/>
      <w:ind w:left="1873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2017-07-13T07:39:00Z</dcterms:created>
  <dcterms:modified xsi:type="dcterms:W3CDTF">2017-07-13T07:39:00Z</dcterms:modified>
</cp:coreProperties>
</file>