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4837" w14:textId="77777777" w:rsidR="00F74978" w:rsidRDefault="000770B1" w:rsidP="00BD1E0D">
      <w:pPr>
        <w:jc w:val="both"/>
        <w:rPr>
          <w:rFonts w:ascii="Arial" w:hAnsi="Arial" w:cs="Arial"/>
          <w:color w:val="1C2F67"/>
        </w:rPr>
      </w:pPr>
      <w:r w:rsidRPr="0006614B">
        <w:rPr>
          <w:rFonts w:ascii="Arial" w:hAnsi="Arial" w:cs="Arial"/>
          <w:b/>
          <w:color w:val="1C2F67"/>
        </w:rPr>
        <w:t xml:space="preserve">OBCHODNÍ </w:t>
      </w:r>
      <w:r w:rsidR="00BD1E0D" w:rsidRPr="0006614B">
        <w:rPr>
          <w:rFonts w:ascii="Arial" w:hAnsi="Arial" w:cs="Arial"/>
          <w:b/>
          <w:color w:val="1C2F67"/>
        </w:rPr>
        <w:t>PODMÍNKY</w:t>
      </w:r>
      <w:r w:rsidR="00F249C1" w:rsidRPr="0006614B">
        <w:rPr>
          <w:rFonts w:ascii="Arial" w:hAnsi="Arial" w:cs="Arial"/>
          <w:b/>
          <w:color w:val="1C2F67"/>
        </w:rPr>
        <w:t xml:space="preserve"> SCFR</w:t>
      </w:r>
      <w:r w:rsidR="008D2624" w:rsidRPr="0006614B">
        <w:rPr>
          <w:rFonts w:ascii="Arial" w:hAnsi="Arial" w:cs="Arial"/>
          <w:b/>
          <w:color w:val="1C2F67"/>
        </w:rPr>
        <w:t xml:space="preserve"> </w:t>
      </w:r>
      <w:r w:rsidRPr="0006614B">
        <w:rPr>
          <w:rFonts w:ascii="Arial" w:hAnsi="Arial" w:cs="Arial"/>
          <w:color w:val="1C2F67"/>
        </w:rPr>
        <w:t xml:space="preserve">společnosti </w:t>
      </w:r>
      <w:r w:rsidR="00BD1E0D" w:rsidRPr="0006614B">
        <w:rPr>
          <w:rFonts w:ascii="Arial" w:hAnsi="Arial" w:cs="Arial"/>
          <w:color w:val="1C2F67"/>
        </w:rPr>
        <w:t>Pražská energetika, a.</w:t>
      </w:r>
      <w:r w:rsidR="00733D72">
        <w:rPr>
          <w:rFonts w:ascii="Arial" w:hAnsi="Arial" w:cs="Arial"/>
          <w:color w:val="1C2F67"/>
        </w:rPr>
        <w:t xml:space="preserve"> </w:t>
      </w:r>
      <w:r w:rsidR="00BD1E0D" w:rsidRPr="0006614B">
        <w:rPr>
          <w:rFonts w:ascii="Arial" w:hAnsi="Arial" w:cs="Arial"/>
          <w:color w:val="1C2F67"/>
        </w:rPr>
        <w:t>s.</w:t>
      </w:r>
      <w:r w:rsidR="00733D72">
        <w:rPr>
          <w:rFonts w:ascii="Arial" w:hAnsi="Arial" w:cs="Arial"/>
          <w:color w:val="1C2F67"/>
        </w:rPr>
        <w:t>,</w:t>
      </w:r>
      <w:r w:rsidR="00BD1E0D" w:rsidRPr="0006614B">
        <w:rPr>
          <w:rFonts w:ascii="Arial" w:hAnsi="Arial" w:cs="Arial"/>
          <w:color w:val="1C2F67"/>
        </w:rPr>
        <w:t xml:space="preserve"> se sídlem Praha 10, Na Hroudě 1492/4, PSČ 100 05, IČ: 601 93 913, zapsan</w:t>
      </w:r>
      <w:r w:rsidR="00C83484">
        <w:rPr>
          <w:rFonts w:ascii="Arial" w:hAnsi="Arial" w:cs="Arial"/>
          <w:color w:val="1C2F67"/>
        </w:rPr>
        <w:t>é</w:t>
      </w:r>
      <w:r w:rsidR="00BD1E0D" w:rsidRPr="0006614B">
        <w:rPr>
          <w:rFonts w:ascii="Arial" w:hAnsi="Arial" w:cs="Arial"/>
          <w:color w:val="1C2F67"/>
        </w:rPr>
        <w:t xml:space="preserve"> v obchodním rejstříku vedeném Městským soudem v Praze v oddílu B, vložka 2405</w:t>
      </w:r>
      <w:r w:rsidR="00D42D83">
        <w:rPr>
          <w:rFonts w:ascii="Arial" w:hAnsi="Arial" w:cs="Arial"/>
          <w:color w:val="1C2F67"/>
        </w:rPr>
        <w:t xml:space="preserve"> - od 1.1.202</w:t>
      </w:r>
      <w:r w:rsidR="00A94E87">
        <w:rPr>
          <w:rFonts w:ascii="Arial" w:hAnsi="Arial" w:cs="Arial"/>
          <w:color w:val="1C2F67"/>
        </w:rPr>
        <w:t>4</w:t>
      </w:r>
    </w:p>
    <w:p w14:paraId="78F4585D" w14:textId="178F61CA" w:rsidR="00BD1E0D" w:rsidRPr="0006614B" w:rsidRDefault="00BD1E0D" w:rsidP="00BD1E0D">
      <w:pPr>
        <w:jc w:val="both"/>
        <w:rPr>
          <w:rFonts w:ascii="Arial" w:hAnsi="Arial" w:cs="Arial"/>
          <w:color w:val="1C2F67"/>
        </w:rPr>
      </w:pPr>
      <w:r w:rsidRPr="0006614B">
        <w:rPr>
          <w:rFonts w:ascii="Arial" w:hAnsi="Arial" w:cs="Arial"/>
          <w:color w:val="1C2F67"/>
        </w:rPr>
        <w:t xml:space="preserve">  </w:t>
      </w:r>
    </w:p>
    <w:p w14:paraId="50EECD50" w14:textId="77777777" w:rsidR="00A2699B" w:rsidRPr="0006614B" w:rsidRDefault="00A2699B" w:rsidP="00A6751C">
      <w:pPr>
        <w:pStyle w:val="Nadpis1"/>
        <w:jc w:val="center"/>
        <w:rPr>
          <w:rFonts w:ascii="Arial" w:hAnsi="Arial" w:cs="Arial"/>
          <w:color w:val="1C2F67"/>
        </w:rPr>
        <w:sectPr w:rsidR="00A2699B" w:rsidRPr="0006614B" w:rsidSect="00F74978">
          <w:pgSz w:w="11906" w:h="16838"/>
          <w:pgMar w:top="1134" w:right="1077" w:bottom="1440" w:left="1077" w:header="709" w:footer="709" w:gutter="0"/>
          <w:cols w:space="708"/>
          <w:docGrid w:linePitch="360"/>
        </w:sectPr>
      </w:pPr>
    </w:p>
    <w:p w14:paraId="744754B2" w14:textId="77777777" w:rsidR="00BD1E0D" w:rsidRPr="0006614B" w:rsidRDefault="00CB1C3B" w:rsidP="00884E00">
      <w:pPr>
        <w:pStyle w:val="Nadpis1"/>
        <w:spacing w:before="0"/>
        <w:ind w:left="284" w:hanging="284"/>
        <w:rPr>
          <w:rFonts w:ascii="Arial" w:hAnsi="Arial" w:cs="Arial"/>
          <w:color w:val="1C2F67"/>
          <w:sz w:val="18"/>
          <w:szCs w:val="18"/>
        </w:rPr>
      </w:pPr>
      <w:r w:rsidRPr="0006614B">
        <w:rPr>
          <w:rFonts w:ascii="Arial" w:hAnsi="Arial" w:cs="Arial"/>
          <w:color w:val="1C2F67"/>
          <w:sz w:val="18"/>
          <w:szCs w:val="18"/>
        </w:rPr>
        <w:t>Obecná ustanovení</w:t>
      </w:r>
    </w:p>
    <w:p w14:paraId="6F891A4F" w14:textId="77777777" w:rsidR="00B9759D" w:rsidRPr="0006614B" w:rsidRDefault="00DE1FCD" w:rsidP="00884E00">
      <w:pPr>
        <w:pStyle w:val="Odstavecseseznamem"/>
        <w:numPr>
          <w:ilvl w:val="0"/>
          <w:numId w:val="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Obchodní podmínky </w:t>
      </w:r>
      <w:r w:rsidR="00F249C1" w:rsidRPr="0006614B">
        <w:rPr>
          <w:rFonts w:ascii="Arial" w:hAnsi="Arial" w:cs="Arial"/>
          <w:b/>
          <w:color w:val="1C2F67"/>
          <w:sz w:val="18"/>
          <w:szCs w:val="18"/>
        </w:rPr>
        <w:t>SCFR</w:t>
      </w:r>
      <w:r w:rsidRPr="0006614B">
        <w:rPr>
          <w:rFonts w:ascii="Arial" w:hAnsi="Arial" w:cs="Arial"/>
          <w:color w:val="1C2F67"/>
          <w:sz w:val="18"/>
          <w:szCs w:val="18"/>
        </w:rPr>
        <w:t xml:space="preserve"> (dále jen „OPD“) společnosti Pražská energetika, a. s. (dále jen „PRE“)</w:t>
      </w:r>
      <w:r w:rsidR="00B9759D" w:rsidRPr="0006614B">
        <w:rPr>
          <w:rFonts w:ascii="Arial" w:hAnsi="Arial" w:cs="Arial"/>
          <w:color w:val="1C2F67"/>
          <w:sz w:val="18"/>
          <w:szCs w:val="18"/>
        </w:rPr>
        <w:t xml:space="preserve">, vydané ve smyslu ustanovení § 1751 zákona č. 89/2012 Sb., občanský zákoník, jsou nedílnou součástí </w:t>
      </w:r>
      <w:r w:rsidR="003D31C3">
        <w:rPr>
          <w:rFonts w:ascii="Arial" w:hAnsi="Arial" w:cs="Arial"/>
          <w:color w:val="1C2F67"/>
          <w:sz w:val="18"/>
          <w:szCs w:val="18"/>
        </w:rPr>
        <w:t>S</w:t>
      </w:r>
      <w:r w:rsidR="00B9759D" w:rsidRPr="0006614B">
        <w:rPr>
          <w:rFonts w:ascii="Arial" w:hAnsi="Arial" w:cs="Arial"/>
          <w:color w:val="1C2F67"/>
          <w:sz w:val="18"/>
          <w:szCs w:val="18"/>
        </w:rPr>
        <w:t xml:space="preserve">mlouvy o dodávce elektřiny uzavřené mezi </w:t>
      </w:r>
      <w:r w:rsidR="000E697A" w:rsidRPr="0006614B">
        <w:rPr>
          <w:rFonts w:ascii="Arial" w:hAnsi="Arial" w:cs="Arial"/>
          <w:color w:val="1C2F67"/>
          <w:sz w:val="18"/>
          <w:szCs w:val="18"/>
        </w:rPr>
        <w:t>Výrob</w:t>
      </w:r>
      <w:r w:rsidR="00B9759D" w:rsidRPr="0006614B">
        <w:rPr>
          <w:rFonts w:ascii="Arial" w:hAnsi="Arial" w:cs="Arial"/>
          <w:color w:val="1C2F67"/>
          <w:sz w:val="18"/>
          <w:szCs w:val="18"/>
        </w:rPr>
        <w:t>cem a PRE (dále jen „Smlouva“).</w:t>
      </w:r>
    </w:p>
    <w:p w14:paraId="79C34D65" w14:textId="77777777" w:rsidR="00BD1E0D" w:rsidRPr="0006614B" w:rsidRDefault="00BD1E0D" w:rsidP="00884E00">
      <w:pPr>
        <w:pStyle w:val="Odstavecseseznamem"/>
        <w:numPr>
          <w:ilvl w:val="0"/>
          <w:numId w:val="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Terminologie a odborné názvy používané v</w:t>
      </w:r>
      <w:r w:rsidR="009E24F7" w:rsidRPr="0006614B">
        <w:rPr>
          <w:rFonts w:ascii="Arial" w:hAnsi="Arial" w:cs="Arial"/>
          <w:color w:val="1C2F67"/>
          <w:sz w:val="18"/>
          <w:szCs w:val="18"/>
        </w:rPr>
        <w:t> </w:t>
      </w:r>
      <w:r w:rsidRPr="0006614B">
        <w:rPr>
          <w:rFonts w:ascii="Arial" w:hAnsi="Arial" w:cs="Arial"/>
          <w:color w:val="1C2F67"/>
          <w:sz w:val="18"/>
          <w:szCs w:val="18"/>
        </w:rPr>
        <w:t>OP</w:t>
      </w:r>
      <w:r w:rsidR="00B9759D" w:rsidRPr="0006614B">
        <w:rPr>
          <w:rFonts w:ascii="Arial" w:hAnsi="Arial" w:cs="Arial"/>
          <w:color w:val="1C2F67"/>
          <w:sz w:val="18"/>
          <w:szCs w:val="18"/>
        </w:rPr>
        <w:t>D</w:t>
      </w:r>
      <w:r w:rsidR="009E24F7" w:rsidRPr="0006614B">
        <w:rPr>
          <w:rFonts w:ascii="Arial" w:hAnsi="Arial" w:cs="Arial"/>
          <w:color w:val="1C2F67"/>
          <w:sz w:val="18"/>
          <w:szCs w:val="18"/>
        </w:rPr>
        <w:t xml:space="preserve"> a Smlouvě</w:t>
      </w:r>
      <w:r w:rsidRPr="0006614B">
        <w:rPr>
          <w:rFonts w:ascii="Arial" w:hAnsi="Arial" w:cs="Arial"/>
          <w:color w:val="1C2F67"/>
          <w:sz w:val="18"/>
          <w:szCs w:val="18"/>
        </w:rPr>
        <w:t xml:space="preserve"> vycházejí zejména z pojmů definovaných a používaných v energetickém zákoně a </w:t>
      </w:r>
      <w:r w:rsidR="00B9759D" w:rsidRPr="0006614B">
        <w:rPr>
          <w:rFonts w:ascii="Arial" w:hAnsi="Arial" w:cs="Arial"/>
          <w:color w:val="1C2F67"/>
          <w:sz w:val="18"/>
          <w:szCs w:val="18"/>
        </w:rPr>
        <w:t>v</w:t>
      </w:r>
      <w:r w:rsidRPr="0006614B">
        <w:rPr>
          <w:rFonts w:ascii="Arial" w:hAnsi="Arial" w:cs="Arial"/>
          <w:color w:val="1C2F67"/>
          <w:sz w:val="18"/>
          <w:szCs w:val="18"/>
        </w:rPr>
        <w:t> souvisejících právních předpis</w:t>
      </w:r>
      <w:r w:rsidR="00B9759D" w:rsidRPr="0006614B">
        <w:rPr>
          <w:rFonts w:ascii="Arial" w:hAnsi="Arial" w:cs="Arial"/>
          <w:color w:val="1C2F67"/>
          <w:sz w:val="18"/>
          <w:szCs w:val="18"/>
        </w:rPr>
        <w:t>ech</w:t>
      </w:r>
      <w:r w:rsidRPr="0006614B">
        <w:rPr>
          <w:rFonts w:ascii="Arial" w:hAnsi="Arial" w:cs="Arial"/>
          <w:color w:val="1C2F67"/>
          <w:sz w:val="18"/>
          <w:szCs w:val="18"/>
        </w:rPr>
        <w:t xml:space="preserve">. </w:t>
      </w:r>
    </w:p>
    <w:p w14:paraId="547D0FE7" w14:textId="77777777" w:rsidR="00A2395B" w:rsidRPr="0006614B" w:rsidRDefault="00B9759D" w:rsidP="00884E00">
      <w:pPr>
        <w:pStyle w:val="Nadpis1"/>
        <w:spacing w:before="0"/>
        <w:ind w:left="284" w:hanging="284"/>
        <w:rPr>
          <w:rFonts w:ascii="Arial" w:hAnsi="Arial" w:cs="Arial"/>
          <w:color w:val="1C2F67"/>
          <w:sz w:val="18"/>
          <w:szCs w:val="18"/>
        </w:rPr>
      </w:pPr>
      <w:r w:rsidRPr="0006614B">
        <w:rPr>
          <w:rFonts w:ascii="Arial" w:hAnsi="Arial" w:cs="Arial"/>
          <w:color w:val="1C2F67"/>
          <w:sz w:val="18"/>
          <w:szCs w:val="18"/>
        </w:rPr>
        <w:t>Dodací podmínky</w:t>
      </w:r>
    </w:p>
    <w:p w14:paraId="5CD806A1" w14:textId="77777777" w:rsidR="00B9759D" w:rsidRPr="0006614B" w:rsidRDefault="00B9759D" w:rsidP="00884E00">
      <w:pPr>
        <w:pStyle w:val="Odstavecseseznamem"/>
        <w:numPr>
          <w:ilvl w:val="0"/>
          <w:numId w:val="20"/>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Výrobce se zavazuje dodávat PRE elektřinu v množství, čase a za podmínek uvedených ve Smlouvě a v  OPD a v kvalitě podle příslušných právních předpisů. </w:t>
      </w:r>
    </w:p>
    <w:p w14:paraId="6683360A" w14:textId="77777777" w:rsidR="00B0707F" w:rsidRPr="006314AD" w:rsidRDefault="00B9759D" w:rsidP="00B0707F">
      <w:pPr>
        <w:pStyle w:val="Odstavecseseznamem"/>
        <w:numPr>
          <w:ilvl w:val="0"/>
          <w:numId w:val="20"/>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Dodávka elektřiny do ES bude realizována </w:t>
      </w:r>
      <w:r w:rsidR="009E24F7" w:rsidRPr="0006614B">
        <w:rPr>
          <w:rFonts w:ascii="Arial" w:hAnsi="Arial" w:cs="Arial"/>
          <w:color w:val="1C2F67"/>
          <w:sz w:val="18"/>
          <w:szCs w:val="18"/>
        </w:rPr>
        <w:t>v</w:t>
      </w:r>
      <w:r w:rsidRPr="0006614B">
        <w:rPr>
          <w:rFonts w:ascii="Arial" w:hAnsi="Arial" w:cs="Arial"/>
          <w:color w:val="1C2F67"/>
          <w:sz w:val="18"/>
          <w:szCs w:val="18"/>
        </w:rPr>
        <w:t xml:space="preserve"> předávacím místě </w:t>
      </w:r>
      <w:r w:rsidR="000E697A" w:rsidRPr="0006614B">
        <w:rPr>
          <w:rFonts w:ascii="Arial" w:hAnsi="Arial" w:cs="Arial"/>
          <w:color w:val="1C2F67"/>
          <w:sz w:val="18"/>
          <w:szCs w:val="18"/>
        </w:rPr>
        <w:t>Výrob</w:t>
      </w:r>
      <w:r w:rsidRPr="0006614B">
        <w:rPr>
          <w:rFonts w:ascii="Arial" w:hAnsi="Arial" w:cs="Arial"/>
          <w:color w:val="1C2F67"/>
          <w:sz w:val="18"/>
          <w:szCs w:val="18"/>
        </w:rPr>
        <w:t xml:space="preserve">ce dle Smlouvy. Předávací místo je ve smyslu příslušného právního předpisu místem předání a převzetí elektřiny mezi </w:t>
      </w:r>
      <w:r w:rsidR="000E697A" w:rsidRPr="0006614B">
        <w:rPr>
          <w:rFonts w:ascii="Arial" w:hAnsi="Arial" w:cs="Arial"/>
          <w:color w:val="1C2F67"/>
          <w:sz w:val="18"/>
          <w:szCs w:val="18"/>
        </w:rPr>
        <w:t>Výrob</w:t>
      </w:r>
      <w:r w:rsidRPr="0006614B">
        <w:rPr>
          <w:rFonts w:ascii="Arial" w:hAnsi="Arial" w:cs="Arial"/>
          <w:color w:val="1C2F67"/>
          <w:sz w:val="18"/>
          <w:szCs w:val="18"/>
        </w:rPr>
        <w:t>cem a PRE, ve kterém dochází k přechodu veškerých vlastnických práv k dodané elektřině prostých od jakýchkoli nároků třetích osob</w:t>
      </w:r>
      <w:r w:rsidR="00E9773B" w:rsidRPr="0006614B">
        <w:rPr>
          <w:rFonts w:ascii="Arial" w:hAnsi="Arial" w:cs="Arial"/>
          <w:color w:val="1C2F67"/>
          <w:sz w:val="18"/>
          <w:szCs w:val="18"/>
        </w:rPr>
        <w:t>.</w:t>
      </w:r>
      <w:r w:rsidR="00B0707F">
        <w:rPr>
          <w:rFonts w:ascii="Arial" w:hAnsi="Arial" w:cs="Arial"/>
          <w:color w:val="1C2F67"/>
          <w:sz w:val="18"/>
          <w:szCs w:val="18"/>
        </w:rPr>
        <w:t xml:space="preserve"> </w:t>
      </w:r>
      <w:r w:rsidR="00B0707F" w:rsidRPr="006314AD">
        <w:rPr>
          <w:rFonts w:ascii="Arial" w:hAnsi="Arial" w:cs="Arial"/>
          <w:color w:val="1C2F67"/>
          <w:sz w:val="18"/>
          <w:szCs w:val="18"/>
        </w:rPr>
        <w:t xml:space="preserve">PRE dle příslušného prováděcího předpisu přebírá </w:t>
      </w:r>
      <w:r w:rsidR="00B0707F">
        <w:rPr>
          <w:rFonts w:ascii="Arial" w:hAnsi="Arial" w:cs="Arial"/>
          <w:color w:val="1C2F67"/>
          <w:sz w:val="18"/>
          <w:szCs w:val="18"/>
        </w:rPr>
        <w:t xml:space="preserve">v předávacím místě </w:t>
      </w:r>
      <w:r w:rsidR="00B0707F" w:rsidRPr="006314AD">
        <w:rPr>
          <w:rFonts w:ascii="Arial" w:hAnsi="Arial" w:cs="Arial"/>
          <w:color w:val="1C2F67"/>
          <w:sz w:val="18"/>
          <w:szCs w:val="18"/>
        </w:rPr>
        <w:t xml:space="preserve">závazek </w:t>
      </w:r>
      <w:r w:rsidR="00B0707F">
        <w:rPr>
          <w:rFonts w:ascii="Arial" w:hAnsi="Arial" w:cs="Arial"/>
          <w:color w:val="1C2F67"/>
          <w:sz w:val="18"/>
          <w:szCs w:val="18"/>
        </w:rPr>
        <w:t>Výrobce</w:t>
      </w:r>
      <w:r w:rsidR="00B0707F" w:rsidRPr="006314AD">
        <w:rPr>
          <w:rFonts w:ascii="Arial" w:hAnsi="Arial" w:cs="Arial"/>
          <w:color w:val="1C2F67"/>
          <w:sz w:val="18"/>
          <w:szCs w:val="18"/>
        </w:rPr>
        <w:t xml:space="preserve"> dodat elektřinu do elektrizační soustavy spolu s odpovědností za odchylku za výrobu</w:t>
      </w:r>
      <w:r w:rsidR="00B0707F">
        <w:rPr>
          <w:rFonts w:ascii="Arial" w:hAnsi="Arial" w:cs="Arial"/>
          <w:color w:val="1C2F67"/>
          <w:sz w:val="18"/>
          <w:szCs w:val="18"/>
        </w:rPr>
        <w:t>.</w:t>
      </w:r>
    </w:p>
    <w:p w14:paraId="52BCF885" w14:textId="77777777" w:rsidR="00E9773B" w:rsidRPr="0006614B" w:rsidRDefault="00E9773B" w:rsidP="00884E00">
      <w:pPr>
        <w:pStyle w:val="Odstavecseseznamem"/>
        <w:numPr>
          <w:ilvl w:val="0"/>
          <w:numId w:val="20"/>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Dodávkou elektřiny se rozumí případ, kdy elektřina přechází ze zařízení </w:t>
      </w:r>
      <w:r w:rsidR="000E697A" w:rsidRPr="0006614B">
        <w:rPr>
          <w:rFonts w:ascii="Arial" w:hAnsi="Arial" w:cs="Arial"/>
          <w:color w:val="1C2F67"/>
          <w:sz w:val="18"/>
          <w:szCs w:val="18"/>
        </w:rPr>
        <w:t>Výrob</w:t>
      </w:r>
      <w:r w:rsidRPr="0006614B">
        <w:rPr>
          <w:rFonts w:ascii="Arial" w:hAnsi="Arial" w:cs="Arial"/>
          <w:color w:val="1C2F67"/>
          <w:sz w:val="18"/>
          <w:szCs w:val="18"/>
        </w:rPr>
        <w:t xml:space="preserve">ce do ES ČR. Odběrem elektřiny se rozumí případ, kdy elektřina přechází z ES ČR do zařízení </w:t>
      </w:r>
      <w:r w:rsidR="000E697A" w:rsidRPr="0006614B">
        <w:rPr>
          <w:rFonts w:ascii="Arial" w:hAnsi="Arial" w:cs="Arial"/>
          <w:color w:val="1C2F67"/>
          <w:sz w:val="18"/>
          <w:szCs w:val="18"/>
        </w:rPr>
        <w:t>Výrob</w:t>
      </w:r>
      <w:r w:rsidRPr="0006614B">
        <w:rPr>
          <w:rFonts w:ascii="Arial" w:hAnsi="Arial" w:cs="Arial"/>
          <w:color w:val="1C2F67"/>
          <w:sz w:val="18"/>
          <w:szCs w:val="18"/>
        </w:rPr>
        <w:t>ce. Na předacích místech jsou dodávka a odběr měřeny a hodnoceny samostatně. Odběr elektřiny není předmětem Smlouvy.</w:t>
      </w:r>
    </w:p>
    <w:p w14:paraId="71526F94" w14:textId="5529FDF4" w:rsidR="00A94E87" w:rsidRPr="00A94E87" w:rsidRDefault="00E9773B" w:rsidP="00A94E87">
      <w:pPr>
        <w:pStyle w:val="Odstavecseseznamem"/>
        <w:numPr>
          <w:ilvl w:val="0"/>
          <w:numId w:val="20"/>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Výrobce není oprávněn dodávat elektřinu dodávanou do ES ČR třetí osobě.</w:t>
      </w:r>
      <w:r w:rsidR="00A94E87">
        <w:rPr>
          <w:rFonts w:ascii="Arial" w:hAnsi="Arial" w:cs="Arial"/>
          <w:color w:val="1C2F67"/>
          <w:sz w:val="18"/>
          <w:szCs w:val="18"/>
        </w:rPr>
        <w:t xml:space="preserve"> </w:t>
      </w:r>
      <w:r w:rsidR="00A94E87" w:rsidRPr="00A94E87">
        <w:rPr>
          <w:rFonts w:ascii="Arial" w:hAnsi="Arial" w:cs="Arial"/>
          <w:color w:val="1C2F67"/>
          <w:sz w:val="18"/>
          <w:szCs w:val="18"/>
        </w:rPr>
        <w:t xml:space="preserve">Výrobce prohlašuje, že ke dni uzavření této smlouvy není výrobna elektřiny součástí sdílení elektřiny dle zákona (zejména v rámci energetického společenství, společenství pro obnovitelné zdroje, mimo tato společenství, dále společně jako „Sdílení elektřiny“) a že v odběrném místě výrobny neposkytuje flexibilitu, a to přímo, nebo prostřednictvím agregace (s výjimkou </w:t>
      </w:r>
      <w:r w:rsidR="00A94E87" w:rsidRPr="00A94E87">
        <w:rPr>
          <w:rFonts w:ascii="Arial" w:hAnsi="Arial" w:cs="Arial"/>
          <w:color w:val="1C2F67"/>
          <w:sz w:val="18"/>
          <w:szCs w:val="18"/>
        </w:rPr>
        <w:t>poskytování flexibility PRE). Výrobce se zavazuje, že po dobu trvání závazku ze smlouvy bez dohody s PRE:</w:t>
      </w:r>
    </w:p>
    <w:p w14:paraId="53A75A9F" w14:textId="7956AFCD" w:rsidR="00A94E87" w:rsidRPr="00A94E87" w:rsidRDefault="00A94E87" w:rsidP="00A94E87">
      <w:pPr>
        <w:pStyle w:val="Odstavecseseznamem"/>
        <w:numPr>
          <w:ilvl w:val="0"/>
          <w:numId w:val="33"/>
        </w:numPr>
        <w:jc w:val="both"/>
        <w:rPr>
          <w:rFonts w:ascii="Arial" w:hAnsi="Arial" w:cs="Arial"/>
          <w:color w:val="1C2F67"/>
          <w:sz w:val="18"/>
          <w:szCs w:val="18"/>
        </w:rPr>
      </w:pPr>
      <w:r w:rsidRPr="00A94E87">
        <w:rPr>
          <w:rFonts w:ascii="Arial" w:hAnsi="Arial" w:cs="Arial"/>
          <w:color w:val="1C2F67"/>
          <w:sz w:val="18"/>
          <w:szCs w:val="18"/>
        </w:rPr>
        <w:t>nezapojí výrobnu do Sdílení elektřiny,</w:t>
      </w:r>
    </w:p>
    <w:p w14:paraId="564C557D" w14:textId="15E92C6C" w:rsidR="00A94E87" w:rsidRPr="00A94E87" w:rsidRDefault="00A94E87" w:rsidP="00A94E87">
      <w:pPr>
        <w:pStyle w:val="Odstavecseseznamem"/>
        <w:numPr>
          <w:ilvl w:val="0"/>
          <w:numId w:val="33"/>
        </w:numPr>
        <w:jc w:val="both"/>
        <w:rPr>
          <w:rFonts w:ascii="Arial" w:hAnsi="Arial" w:cs="Arial"/>
          <w:color w:val="1C2F67"/>
          <w:sz w:val="18"/>
          <w:szCs w:val="18"/>
        </w:rPr>
      </w:pPr>
      <w:r w:rsidRPr="00A94E87">
        <w:rPr>
          <w:rFonts w:ascii="Arial" w:hAnsi="Arial" w:cs="Arial"/>
          <w:color w:val="1C2F67"/>
          <w:sz w:val="18"/>
          <w:szCs w:val="18"/>
        </w:rPr>
        <w:t xml:space="preserve">nebude v </w:t>
      </w:r>
      <w:r>
        <w:rPr>
          <w:rFonts w:ascii="Arial" w:hAnsi="Arial" w:cs="Arial"/>
          <w:color w:val="1C2F67"/>
          <w:sz w:val="18"/>
          <w:szCs w:val="18"/>
        </w:rPr>
        <w:t>o</w:t>
      </w:r>
      <w:r w:rsidRPr="00A94E87">
        <w:rPr>
          <w:rFonts w:ascii="Arial" w:hAnsi="Arial" w:cs="Arial"/>
          <w:color w:val="1C2F67"/>
          <w:sz w:val="18"/>
          <w:szCs w:val="18"/>
        </w:rPr>
        <w:t>dběrném místě</w:t>
      </w:r>
      <w:r>
        <w:rPr>
          <w:rFonts w:ascii="Arial" w:hAnsi="Arial" w:cs="Arial"/>
          <w:color w:val="1C2F67"/>
          <w:sz w:val="18"/>
          <w:szCs w:val="18"/>
        </w:rPr>
        <w:t xml:space="preserve"> Výrobny</w:t>
      </w:r>
      <w:r w:rsidRPr="00A94E87">
        <w:rPr>
          <w:rFonts w:ascii="Arial" w:hAnsi="Arial" w:cs="Arial"/>
          <w:color w:val="1C2F67"/>
          <w:sz w:val="18"/>
          <w:szCs w:val="18"/>
        </w:rPr>
        <w:t xml:space="preserve"> poskytovat flexibilitu, a to přímo, nebo prostřednictvím agregace (s výjimkou poskytování flexibility PRE).</w:t>
      </w:r>
    </w:p>
    <w:p w14:paraId="49787114" w14:textId="15008B63" w:rsidR="00A94E87" w:rsidRPr="00A94E87" w:rsidRDefault="00A94E87" w:rsidP="00A94E87">
      <w:pPr>
        <w:ind w:left="360"/>
        <w:jc w:val="both"/>
        <w:rPr>
          <w:rFonts w:ascii="Arial" w:hAnsi="Arial" w:cs="Arial"/>
          <w:color w:val="1C2F67"/>
          <w:sz w:val="18"/>
          <w:szCs w:val="18"/>
        </w:rPr>
      </w:pPr>
      <w:r w:rsidRPr="00A94E87">
        <w:rPr>
          <w:rFonts w:ascii="Arial" w:hAnsi="Arial" w:cs="Arial"/>
          <w:color w:val="1C2F67"/>
          <w:sz w:val="18"/>
          <w:szCs w:val="18"/>
        </w:rPr>
        <w:t>Porušení této povinnosti se považuje za podsta</w:t>
      </w:r>
      <w:r>
        <w:rPr>
          <w:rFonts w:ascii="Arial" w:hAnsi="Arial" w:cs="Arial"/>
          <w:color w:val="1C2F67"/>
          <w:sz w:val="18"/>
          <w:szCs w:val="18"/>
        </w:rPr>
        <w:t>t</w:t>
      </w:r>
      <w:r w:rsidRPr="00A94E87">
        <w:rPr>
          <w:rFonts w:ascii="Arial" w:hAnsi="Arial" w:cs="Arial"/>
          <w:color w:val="1C2F67"/>
          <w:sz w:val="18"/>
          <w:szCs w:val="18"/>
        </w:rPr>
        <w:t xml:space="preserve">né porušení této smlouvy, pro které má PRE právo odstoupit od smlouvy a požadovat po </w:t>
      </w:r>
      <w:r>
        <w:rPr>
          <w:rFonts w:ascii="Arial" w:hAnsi="Arial" w:cs="Arial"/>
          <w:color w:val="1C2F67"/>
          <w:sz w:val="18"/>
          <w:szCs w:val="18"/>
        </w:rPr>
        <w:t>Výrobci</w:t>
      </w:r>
      <w:r w:rsidRPr="00A94E87">
        <w:rPr>
          <w:rFonts w:ascii="Arial" w:hAnsi="Arial" w:cs="Arial"/>
          <w:color w:val="1C2F67"/>
          <w:sz w:val="18"/>
          <w:szCs w:val="18"/>
        </w:rPr>
        <w:t xml:space="preserve"> uhrazení vzniklé škody. </w:t>
      </w:r>
    </w:p>
    <w:p w14:paraId="5707FA59" w14:textId="77777777" w:rsidR="00A2395B" w:rsidRPr="0006614B" w:rsidRDefault="00A2395B" w:rsidP="00884E00">
      <w:pPr>
        <w:pStyle w:val="Nadpis1"/>
        <w:spacing w:before="0"/>
        <w:ind w:left="284" w:hanging="284"/>
        <w:rPr>
          <w:rFonts w:ascii="Arial" w:hAnsi="Arial" w:cs="Arial"/>
          <w:color w:val="1C2F67"/>
          <w:sz w:val="18"/>
          <w:szCs w:val="18"/>
        </w:rPr>
      </w:pPr>
      <w:r w:rsidRPr="0006614B">
        <w:rPr>
          <w:rFonts w:ascii="Arial" w:hAnsi="Arial" w:cs="Arial"/>
          <w:color w:val="1C2F67"/>
          <w:sz w:val="18"/>
          <w:szCs w:val="18"/>
        </w:rPr>
        <w:t>Cena za dodanou elektřinu</w:t>
      </w:r>
    </w:p>
    <w:p w14:paraId="681BFBCD" w14:textId="77777777" w:rsidR="004F36FB" w:rsidRDefault="00247F64" w:rsidP="004F36FB">
      <w:pPr>
        <w:pStyle w:val="Odstavecseseznamem"/>
        <w:numPr>
          <w:ilvl w:val="0"/>
          <w:numId w:val="22"/>
        </w:numPr>
        <w:ind w:left="284" w:hanging="284"/>
        <w:contextualSpacing w:val="0"/>
        <w:jc w:val="both"/>
        <w:rPr>
          <w:rFonts w:ascii="Arial" w:hAnsi="Arial" w:cs="Arial"/>
          <w:color w:val="1C2F67"/>
          <w:sz w:val="18"/>
          <w:szCs w:val="18"/>
        </w:rPr>
      </w:pPr>
      <w:r w:rsidRPr="0006614B">
        <w:rPr>
          <w:rFonts w:ascii="Arial" w:hAnsi="Arial" w:cs="Arial"/>
          <w:noProof/>
          <w:color w:val="1C2F67"/>
          <w:sz w:val="18"/>
          <w:szCs w:val="18"/>
        </w:rPr>
        <w:drawing>
          <wp:anchor distT="0" distB="0" distL="114300" distR="114300" simplePos="0" relativeHeight="251660288" behindDoc="1" locked="0" layoutInCell="1" allowOverlap="1" wp14:anchorId="530545B6" wp14:editId="0C5032C2">
            <wp:simplePos x="0" y="0"/>
            <wp:positionH relativeFrom="rightMargin">
              <wp:posOffset>-2368550</wp:posOffset>
            </wp:positionH>
            <wp:positionV relativeFrom="bottomMargin">
              <wp:posOffset>23495</wp:posOffset>
            </wp:positionV>
            <wp:extent cx="2828925" cy="1001395"/>
            <wp:effectExtent l="0" t="0" r="9525" b="8255"/>
            <wp:wrapTight wrapText="bothSides">
              <wp:wrapPolygon edited="0">
                <wp:start x="0" y="0"/>
                <wp:lineTo x="0" y="21367"/>
                <wp:lineTo x="21527" y="21367"/>
                <wp:lineTo x="2152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95B" w:rsidRPr="0006614B">
        <w:rPr>
          <w:rFonts w:ascii="Arial" w:hAnsi="Arial" w:cs="Arial"/>
          <w:color w:val="1C2F67"/>
          <w:sz w:val="18"/>
          <w:szCs w:val="18"/>
        </w:rPr>
        <w:t xml:space="preserve">Dodávka elektřiny bude účtována </w:t>
      </w:r>
      <w:r w:rsidR="000E697A" w:rsidRPr="0006614B">
        <w:rPr>
          <w:rFonts w:ascii="Arial" w:hAnsi="Arial" w:cs="Arial"/>
          <w:color w:val="1C2F67"/>
          <w:sz w:val="18"/>
          <w:szCs w:val="18"/>
        </w:rPr>
        <w:t>Výrob</w:t>
      </w:r>
      <w:r w:rsidR="00A2395B" w:rsidRPr="0006614B">
        <w:rPr>
          <w:rFonts w:ascii="Arial" w:hAnsi="Arial" w:cs="Arial"/>
          <w:color w:val="1C2F67"/>
          <w:sz w:val="18"/>
          <w:szCs w:val="18"/>
        </w:rPr>
        <w:t xml:space="preserve">cem PRE vždy po skončení příslušného fakturačního období cenou </w:t>
      </w:r>
      <w:r w:rsidR="00DE1FCD" w:rsidRPr="0006614B">
        <w:rPr>
          <w:rFonts w:ascii="Arial" w:hAnsi="Arial" w:cs="Arial"/>
          <w:color w:val="1C2F67"/>
          <w:sz w:val="18"/>
          <w:szCs w:val="18"/>
        </w:rPr>
        <w:t>sjednanou ve Smlouvě</w:t>
      </w:r>
      <w:r w:rsidR="00A2395B" w:rsidRPr="0006614B">
        <w:rPr>
          <w:rFonts w:ascii="Arial" w:hAnsi="Arial" w:cs="Arial"/>
          <w:color w:val="1C2F67"/>
          <w:sz w:val="18"/>
          <w:szCs w:val="18"/>
        </w:rPr>
        <w:t>.</w:t>
      </w:r>
    </w:p>
    <w:p w14:paraId="1497CEA7" w14:textId="77777777" w:rsidR="004F36FB" w:rsidRDefault="00C865B2" w:rsidP="004F36FB">
      <w:pPr>
        <w:pStyle w:val="Odstavecseseznamem"/>
        <w:numPr>
          <w:ilvl w:val="0"/>
          <w:numId w:val="22"/>
        </w:numPr>
        <w:ind w:left="284" w:hanging="284"/>
        <w:contextualSpacing w:val="0"/>
        <w:jc w:val="both"/>
        <w:rPr>
          <w:rFonts w:ascii="Arial" w:hAnsi="Arial" w:cs="Arial"/>
          <w:color w:val="1C2F67"/>
          <w:sz w:val="18"/>
          <w:szCs w:val="18"/>
        </w:rPr>
      </w:pPr>
      <w:r w:rsidRPr="004F36FB">
        <w:rPr>
          <w:rFonts w:ascii="Arial" w:hAnsi="Arial" w:cs="Arial"/>
          <w:color w:val="1C2F67"/>
          <w:sz w:val="18"/>
          <w:szCs w:val="18"/>
        </w:rPr>
        <w:t>PRE</w:t>
      </w:r>
      <w:r w:rsidR="009F3E25" w:rsidRPr="004F36FB">
        <w:rPr>
          <w:rFonts w:ascii="Arial" w:hAnsi="Arial" w:cs="Arial"/>
          <w:color w:val="1C2F67"/>
          <w:sz w:val="18"/>
          <w:szCs w:val="18"/>
        </w:rPr>
        <w:t xml:space="preserve"> má právo jednostranně měnit cenu elektřin</w:t>
      </w:r>
      <w:r w:rsidRPr="004F36FB">
        <w:rPr>
          <w:rFonts w:ascii="Arial" w:hAnsi="Arial" w:cs="Arial"/>
          <w:color w:val="1C2F67"/>
          <w:sz w:val="18"/>
          <w:szCs w:val="18"/>
        </w:rPr>
        <w:t>y</w:t>
      </w:r>
      <w:r w:rsidR="009F3E25" w:rsidRPr="004F36FB">
        <w:rPr>
          <w:rFonts w:ascii="Arial" w:hAnsi="Arial" w:cs="Arial"/>
          <w:color w:val="1C2F67"/>
          <w:sz w:val="18"/>
          <w:szCs w:val="18"/>
        </w:rPr>
        <w:t xml:space="preserve"> dodávanou podle Smlouvy</w:t>
      </w:r>
      <w:r w:rsidR="006A0C2F" w:rsidRPr="004F36FB">
        <w:rPr>
          <w:rFonts w:ascii="Arial" w:hAnsi="Arial" w:cs="Arial"/>
          <w:color w:val="1C2F67"/>
          <w:sz w:val="18"/>
          <w:szCs w:val="18"/>
        </w:rPr>
        <w:t xml:space="preserve"> vždy s účinností k 1. 1. příslušného kalendářního roku</w:t>
      </w:r>
      <w:r w:rsidR="009F3E25" w:rsidRPr="004F36FB">
        <w:rPr>
          <w:rFonts w:ascii="Arial" w:hAnsi="Arial" w:cs="Arial"/>
          <w:color w:val="1C2F67"/>
          <w:sz w:val="18"/>
          <w:szCs w:val="18"/>
        </w:rPr>
        <w:t>. Změn</w:t>
      </w:r>
      <w:r w:rsidR="006A0C2F" w:rsidRPr="004F36FB">
        <w:rPr>
          <w:rFonts w:ascii="Arial" w:hAnsi="Arial" w:cs="Arial"/>
          <w:color w:val="1C2F67"/>
          <w:sz w:val="18"/>
          <w:szCs w:val="18"/>
        </w:rPr>
        <w:t>a</w:t>
      </w:r>
      <w:r w:rsidR="009F3E25" w:rsidRPr="004F36FB">
        <w:rPr>
          <w:rFonts w:ascii="Arial" w:hAnsi="Arial" w:cs="Arial"/>
          <w:color w:val="1C2F67"/>
          <w:sz w:val="18"/>
          <w:szCs w:val="18"/>
        </w:rPr>
        <w:t xml:space="preserve"> ceny musí být </w:t>
      </w:r>
      <w:r w:rsidR="006A0C2F" w:rsidRPr="004F36FB">
        <w:rPr>
          <w:rFonts w:ascii="Arial" w:hAnsi="Arial" w:cs="Arial"/>
          <w:color w:val="1C2F67"/>
          <w:sz w:val="18"/>
          <w:szCs w:val="18"/>
        </w:rPr>
        <w:t>Výrobci</w:t>
      </w:r>
      <w:r w:rsidR="009F3E25" w:rsidRPr="004F36FB">
        <w:rPr>
          <w:rFonts w:ascii="Arial" w:hAnsi="Arial" w:cs="Arial"/>
          <w:color w:val="1C2F67"/>
          <w:sz w:val="18"/>
          <w:szCs w:val="18"/>
        </w:rPr>
        <w:t xml:space="preserve"> oznámena na jeho kontaktní e-mailovou adresu </w:t>
      </w:r>
      <w:r w:rsidR="006A0C2F" w:rsidRPr="004F36FB">
        <w:rPr>
          <w:rFonts w:ascii="Arial" w:hAnsi="Arial" w:cs="Arial"/>
          <w:color w:val="1C2F67"/>
          <w:sz w:val="18"/>
          <w:szCs w:val="18"/>
        </w:rPr>
        <w:t>nejpozději</w:t>
      </w:r>
      <w:r w:rsidR="009F3E25" w:rsidRPr="004F36FB">
        <w:rPr>
          <w:rFonts w:ascii="Arial" w:hAnsi="Arial" w:cs="Arial"/>
          <w:color w:val="1C2F67"/>
          <w:sz w:val="18"/>
          <w:szCs w:val="18"/>
        </w:rPr>
        <w:t xml:space="preserve"> </w:t>
      </w:r>
      <w:r w:rsidR="00781641" w:rsidRPr="004F36FB">
        <w:rPr>
          <w:rFonts w:ascii="Arial" w:hAnsi="Arial" w:cs="Arial"/>
          <w:color w:val="1C2F67"/>
          <w:sz w:val="18"/>
          <w:szCs w:val="18"/>
        </w:rPr>
        <w:t>dne 31. 10.</w:t>
      </w:r>
      <w:r w:rsidR="009F3E25" w:rsidRPr="004F36FB">
        <w:rPr>
          <w:rFonts w:ascii="Arial" w:hAnsi="Arial" w:cs="Arial"/>
          <w:color w:val="1C2F67"/>
          <w:sz w:val="18"/>
          <w:szCs w:val="18"/>
        </w:rPr>
        <w:t xml:space="preserve"> před účinností nových cen.</w:t>
      </w:r>
    </w:p>
    <w:p w14:paraId="1EDF94B7" w14:textId="77777777" w:rsidR="006A0C2F" w:rsidRPr="004F36FB" w:rsidRDefault="006A0C2F" w:rsidP="004F36FB">
      <w:pPr>
        <w:pStyle w:val="Odstavecseseznamem"/>
        <w:numPr>
          <w:ilvl w:val="0"/>
          <w:numId w:val="22"/>
        </w:numPr>
        <w:ind w:left="284" w:hanging="284"/>
        <w:contextualSpacing w:val="0"/>
        <w:jc w:val="both"/>
        <w:rPr>
          <w:rFonts w:ascii="Arial" w:hAnsi="Arial" w:cs="Arial"/>
          <w:color w:val="1C2F67"/>
          <w:sz w:val="18"/>
          <w:szCs w:val="18"/>
        </w:rPr>
      </w:pPr>
      <w:r w:rsidRPr="004F36FB">
        <w:rPr>
          <w:rFonts w:ascii="Arial" w:hAnsi="Arial" w:cs="Arial"/>
          <w:color w:val="1C2F67"/>
          <w:sz w:val="18"/>
          <w:szCs w:val="18"/>
        </w:rPr>
        <w:t xml:space="preserve">V případě, že Výrobce nebude se </w:t>
      </w:r>
      <w:r w:rsidR="008504CD" w:rsidRPr="004F36FB">
        <w:rPr>
          <w:rFonts w:ascii="Arial" w:hAnsi="Arial" w:cs="Arial"/>
          <w:color w:val="1C2F67"/>
          <w:sz w:val="18"/>
          <w:szCs w:val="18"/>
        </w:rPr>
        <w:t>změnou</w:t>
      </w:r>
      <w:r w:rsidRPr="004F36FB">
        <w:rPr>
          <w:rFonts w:ascii="Arial" w:hAnsi="Arial" w:cs="Arial"/>
          <w:color w:val="1C2F67"/>
          <w:sz w:val="18"/>
          <w:szCs w:val="18"/>
        </w:rPr>
        <w:t xml:space="preserve"> ceny za elektřinu podle odstavce 2. tohoto článku souhlasit, má právo bez uvedení důvodu odstoupit od Smlouvy nejpozději </w:t>
      </w:r>
      <w:r w:rsidR="00781641" w:rsidRPr="004F36FB">
        <w:rPr>
          <w:rFonts w:ascii="Arial" w:hAnsi="Arial" w:cs="Arial"/>
          <w:color w:val="1C2F67"/>
          <w:sz w:val="18"/>
          <w:szCs w:val="18"/>
        </w:rPr>
        <w:t>dne 30. 11.</w:t>
      </w:r>
      <w:r w:rsidRPr="004F36FB">
        <w:rPr>
          <w:rFonts w:ascii="Arial" w:hAnsi="Arial" w:cs="Arial"/>
          <w:color w:val="1C2F67"/>
          <w:sz w:val="18"/>
          <w:szCs w:val="18"/>
        </w:rPr>
        <w:t xml:space="preserve"> před </w:t>
      </w:r>
      <w:r w:rsidR="00781641" w:rsidRPr="004F36FB">
        <w:rPr>
          <w:rFonts w:ascii="Arial" w:hAnsi="Arial" w:cs="Arial"/>
          <w:color w:val="1C2F67"/>
          <w:sz w:val="18"/>
          <w:szCs w:val="18"/>
        </w:rPr>
        <w:t>účinnost</w:t>
      </w:r>
      <w:r w:rsidR="00393CE2" w:rsidRPr="004F36FB">
        <w:rPr>
          <w:rFonts w:ascii="Arial" w:hAnsi="Arial" w:cs="Arial"/>
          <w:color w:val="1C2F67"/>
          <w:sz w:val="18"/>
          <w:szCs w:val="18"/>
        </w:rPr>
        <w:t>í</w:t>
      </w:r>
      <w:r w:rsidRPr="004F36FB">
        <w:rPr>
          <w:rFonts w:ascii="Arial" w:hAnsi="Arial" w:cs="Arial"/>
          <w:color w:val="1C2F67"/>
          <w:sz w:val="18"/>
          <w:szCs w:val="18"/>
        </w:rPr>
        <w:t xml:space="preserve"> </w:t>
      </w:r>
      <w:r w:rsidR="003D31C3">
        <w:rPr>
          <w:rFonts w:ascii="Arial" w:hAnsi="Arial" w:cs="Arial"/>
          <w:color w:val="1C2F67"/>
          <w:sz w:val="18"/>
          <w:szCs w:val="18"/>
        </w:rPr>
        <w:t>změny</w:t>
      </w:r>
      <w:r w:rsidRPr="004F36FB">
        <w:rPr>
          <w:rFonts w:ascii="Arial" w:hAnsi="Arial" w:cs="Arial"/>
          <w:color w:val="1C2F67"/>
          <w:sz w:val="18"/>
          <w:szCs w:val="18"/>
        </w:rPr>
        <w:t xml:space="preserve"> ceny. Odstoupení je účinné k poslednímu dni kalendářního </w:t>
      </w:r>
      <w:r w:rsidR="00781641" w:rsidRPr="004F36FB">
        <w:rPr>
          <w:rFonts w:ascii="Arial" w:hAnsi="Arial" w:cs="Arial"/>
          <w:color w:val="1C2F67"/>
          <w:sz w:val="18"/>
          <w:szCs w:val="18"/>
        </w:rPr>
        <w:t>roku</w:t>
      </w:r>
      <w:r w:rsidRPr="004F36FB">
        <w:rPr>
          <w:rFonts w:ascii="Arial" w:hAnsi="Arial" w:cs="Arial"/>
          <w:color w:val="1C2F67"/>
          <w:sz w:val="18"/>
          <w:szCs w:val="18"/>
        </w:rPr>
        <w:t xml:space="preserve">, ve kterém bylo doručeno </w:t>
      </w:r>
      <w:r w:rsidR="00393CE2" w:rsidRPr="004F36FB">
        <w:rPr>
          <w:rFonts w:ascii="Arial" w:hAnsi="Arial" w:cs="Arial"/>
          <w:color w:val="1C2F67"/>
          <w:sz w:val="18"/>
          <w:szCs w:val="18"/>
        </w:rPr>
        <w:t xml:space="preserve">na kontaktní e-mailovou adresu </w:t>
      </w:r>
      <w:r w:rsidR="00781641" w:rsidRPr="004F36FB">
        <w:rPr>
          <w:rFonts w:ascii="Arial" w:hAnsi="Arial" w:cs="Arial"/>
          <w:color w:val="1C2F67"/>
          <w:sz w:val="18"/>
          <w:szCs w:val="18"/>
        </w:rPr>
        <w:t>PRE</w:t>
      </w:r>
      <w:r w:rsidRPr="004F36FB">
        <w:rPr>
          <w:rFonts w:ascii="Arial" w:hAnsi="Arial" w:cs="Arial"/>
          <w:color w:val="1C2F67"/>
          <w:sz w:val="18"/>
          <w:szCs w:val="18"/>
        </w:rPr>
        <w:t>.</w:t>
      </w:r>
    </w:p>
    <w:p w14:paraId="0259053A" w14:textId="77777777" w:rsidR="00A2395B" w:rsidRPr="0006614B" w:rsidRDefault="00A2395B" w:rsidP="00884E00">
      <w:pPr>
        <w:pStyle w:val="Nadpis1"/>
        <w:spacing w:before="0"/>
        <w:ind w:left="283" w:hanging="170"/>
        <w:rPr>
          <w:rFonts w:ascii="Arial" w:hAnsi="Arial" w:cs="Arial"/>
          <w:color w:val="1C2F67"/>
          <w:sz w:val="18"/>
          <w:szCs w:val="18"/>
        </w:rPr>
      </w:pPr>
      <w:r w:rsidRPr="0006614B">
        <w:rPr>
          <w:rFonts w:ascii="Arial" w:hAnsi="Arial" w:cs="Arial"/>
          <w:color w:val="1C2F67"/>
          <w:sz w:val="18"/>
          <w:szCs w:val="18"/>
        </w:rPr>
        <w:t>Měření a odečty</w:t>
      </w:r>
    </w:p>
    <w:p w14:paraId="2C2A4642" w14:textId="77777777" w:rsidR="00A2395B" w:rsidRPr="0006614B" w:rsidRDefault="00E9773B" w:rsidP="00884E00">
      <w:pPr>
        <w:pStyle w:val="Odstavecseseznamem"/>
        <w:numPr>
          <w:ilvl w:val="0"/>
          <w:numId w:val="25"/>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Dodávka elektřiny se měří v  platném čase měřicími přístroji příslušného provozovatele distribuční soustavy instalovanými v předávacím místě výrobny specifikované ve Smlouvě</w:t>
      </w:r>
      <w:r w:rsidR="00A2395B" w:rsidRPr="0006614B">
        <w:rPr>
          <w:rFonts w:ascii="Arial" w:hAnsi="Arial" w:cs="Arial"/>
          <w:color w:val="1C2F67"/>
          <w:sz w:val="18"/>
          <w:szCs w:val="18"/>
        </w:rPr>
        <w:t xml:space="preserve">. </w:t>
      </w:r>
    </w:p>
    <w:p w14:paraId="6CD610B1" w14:textId="77777777" w:rsidR="00A2395B" w:rsidRPr="0006614B" w:rsidRDefault="00E9773B" w:rsidP="00884E00">
      <w:pPr>
        <w:pStyle w:val="Odstavecseseznamem"/>
        <w:numPr>
          <w:ilvl w:val="0"/>
          <w:numId w:val="25"/>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Podkladem pro vyhodnocení dodávky elektřiny do ES ČR jsou hodnoty naměřené v předávacím místě výrobny elektřiny a distribuční nebo přenosové soustavy a evidované operátorem trhu v souladu s příslušným právním předpisem</w:t>
      </w:r>
      <w:r w:rsidR="00A2395B" w:rsidRPr="0006614B">
        <w:rPr>
          <w:rFonts w:ascii="Arial" w:hAnsi="Arial" w:cs="Arial"/>
          <w:color w:val="1C2F67"/>
          <w:sz w:val="18"/>
          <w:szCs w:val="18"/>
        </w:rPr>
        <w:t>.</w:t>
      </w:r>
    </w:p>
    <w:p w14:paraId="6B4B486A" w14:textId="77777777" w:rsidR="00A2395B" w:rsidRPr="0006614B" w:rsidRDefault="00E9773B" w:rsidP="00884E00">
      <w:pPr>
        <w:pStyle w:val="Odstavecseseznamem"/>
        <w:numPr>
          <w:ilvl w:val="0"/>
          <w:numId w:val="25"/>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PRE neodpovídá </w:t>
      </w:r>
      <w:r w:rsidR="000E697A" w:rsidRPr="0006614B">
        <w:rPr>
          <w:rFonts w:ascii="Arial" w:hAnsi="Arial" w:cs="Arial"/>
          <w:color w:val="1C2F67"/>
          <w:sz w:val="18"/>
          <w:szCs w:val="18"/>
        </w:rPr>
        <w:t>Výrob</w:t>
      </w:r>
      <w:r w:rsidRPr="0006614B">
        <w:rPr>
          <w:rFonts w:ascii="Arial" w:hAnsi="Arial" w:cs="Arial"/>
          <w:color w:val="1C2F67"/>
          <w:sz w:val="18"/>
          <w:szCs w:val="18"/>
        </w:rPr>
        <w:t xml:space="preserve">ci za škodu, která by </w:t>
      </w:r>
      <w:r w:rsidR="000E697A" w:rsidRPr="0006614B">
        <w:rPr>
          <w:rFonts w:ascii="Arial" w:hAnsi="Arial" w:cs="Arial"/>
          <w:color w:val="1C2F67"/>
          <w:sz w:val="18"/>
          <w:szCs w:val="18"/>
        </w:rPr>
        <w:t>Výrob</w:t>
      </w:r>
      <w:r w:rsidRPr="0006614B">
        <w:rPr>
          <w:rFonts w:ascii="Arial" w:hAnsi="Arial" w:cs="Arial"/>
          <w:color w:val="1C2F67"/>
          <w:sz w:val="18"/>
          <w:szCs w:val="18"/>
        </w:rPr>
        <w:t xml:space="preserve">ci vznikla v důsledku evidování nesprávných nebo neúplných údajů v systému operátora trhu o naměřených hodnotách výroby a dodávky elektřiny v předávacím </w:t>
      </w:r>
      <w:r w:rsidRPr="0006614B">
        <w:rPr>
          <w:rFonts w:ascii="Arial" w:hAnsi="Arial" w:cs="Arial"/>
          <w:color w:val="1C2F67"/>
          <w:sz w:val="18"/>
          <w:szCs w:val="18"/>
        </w:rPr>
        <w:t>místě výrobny nebo evidováním údajů naměřených měřícím zařízením, na kterém byla zjištěna závada v měření</w:t>
      </w:r>
      <w:r w:rsidR="00A2395B" w:rsidRPr="0006614B">
        <w:rPr>
          <w:rFonts w:ascii="Arial" w:hAnsi="Arial" w:cs="Arial"/>
          <w:color w:val="1C2F67"/>
          <w:sz w:val="18"/>
          <w:szCs w:val="18"/>
        </w:rPr>
        <w:t>.</w:t>
      </w:r>
    </w:p>
    <w:p w14:paraId="4225FCEC" w14:textId="77777777" w:rsidR="00A2395B" w:rsidRPr="0006614B" w:rsidRDefault="00A2395B" w:rsidP="000B2B9D">
      <w:pPr>
        <w:pStyle w:val="Nadpis1"/>
        <w:spacing w:before="0"/>
        <w:ind w:left="283" w:hanging="170"/>
        <w:rPr>
          <w:rFonts w:ascii="Arial" w:hAnsi="Arial" w:cs="Arial"/>
          <w:color w:val="1C2F67"/>
          <w:sz w:val="18"/>
          <w:szCs w:val="18"/>
        </w:rPr>
      </w:pPr>
      <w:r w:rsidRPr="0006614B">
        <w:rPr>
          <w:rFonts w:ascii="Arial" w:hAnsi="Arial" w:cs="Arial"/>
          <w:color w:val="1C2F67"/>
          <w:sz w:val="18"/>
          <w:szCs w:val="18"/>
        </w:rPr>
        <w:t>Fakturace a placení</w:t>
      </w:r>
    </w:p>
    <w:p w14:paraId="4664D1A9" w14:textId="77777777" w:rsidR="00A12DAE" w:rsidRDefault="00E9773B"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Platební závazky budou realizovány bezhotovostním platebním stykem formou příkazů k úhradě strany povinné k plnění ve prospěch strany oprávněné plnění přijmout na číslo účtu uvedené v záhlaví Smlouvy. V případě změny bankovního spojení je rozhodující číslo účtu uvedené na daňovém dokladu s tím, že strana, která údaje mění, je povinna takovou změnu druhé straně bezodkladně písemně oznámit.  </w:t>
      </w:r>
      <w:r w:rsidR="00EF0B9F" w:rsidRPr="0006614B">
        <w:rPr>
          <w:rFonts w:ascii="Arial" w:hAnsi="Arial" w:cs="Arial"/>
          <w:color w:val="1C2F67"/>
          <w:sz w:val="18"/>
          <w:szCs w:val="18"/>
        </w:rPr>
        <w:t xml:space="preserve">Pokud je Výrobce plátcem DPH, provede </w:t>
      </w:r>
      <w:r w:rsidRPr="0006614B">
        <w:rPr>
          <w:rFonts w:ascii="Arial" w:hAnsi="Arial" w:cs="Arial"/>
          <w:color w:val="1C2F67"/>
          <w:sz w:val="18"/>
          <w:szCs w:val="18"/>
        </w:rPr>
        <w:t>PRE úhradu pouze na účet, který bude k datu úhrady zveřejněný dle §96 odst. 2 zákona o DPH</w:t>
      </w:r>
      <w:r w:rsidR="00263484" w:rsidRPr="0006614B">
        <w:rPr>
          <w:rFonts w:ascii="Arial" w:hAnsi="Arial" w:cs="Arial"/>
          <w:color w:val="1C2F67"/>
          <w:sz w:val="18"/>
          <w:szCs w:val="18"/>
        </w:rPr>
        <w:t>.</w:t>
      </w:r>
    </w:p>
    <w:p w14:paraId="24CC17C3" w14:textId="77777777" w:rsidR="006B5BA5" w:rsidRPr="0006614B" w:rsidRDefault="006B5BA5" w:rsidP="000B2B9D">
      <w:pPr>
        <w:pStyle w:val="Odstavecseseznamem"/>
        <w:numPr>
          <w:ilvl w:val="0"/>
          <w:numId w:val="27"/>
        </w:numPr>
        <w:ind w:left="284" w:hanging="284"/>
        <w:contextualSpacing w:val="0"/>
        <w:jc w:val="both"/>
        <w:rPr>
          <w:rFonts w:ascii="Arial" w:hAnsi="Arial" w:cs="Arial"/>
          <w:color w:val="1C2F67"/>
          <w:sz w:val="18"/>
          <w:szCs w:val="18"/>
        </w:rPr>
      </w:pPr>
      <w:r>
        <w:rPr>
          <w:rFonts w:ascii="Arial" w:hAnsi="Arial" w:cs="Arial"/>
          <w:color w:val="1C2F67"/>
          <w:sz w:val="18"/>
          <w:szCs w:val="18"/>
        </w:rPr>
        <w:t xml:space="preserve">V případě, že se </w:t>
      </w:r>
      <w:r w:rsidR="003D31C3">
        <w:rPr>
          <w:rFonts w:ascii="Arial" w:hAnsi="Arial" w:cs="Arial"/>
          <w:color w:val="1C2F67"/>
          <w:sz w:val="18"/>
          <w:szCs w:val="18"/>
        </w:rPr>
        <w:t>V</w:t>
      </w:r>
      <w:r>
        <w:rPr>
          <w:rFonts w:ascii="Arial" w:hAnsi="Arial" w:cs="Arial"/>
          <w:color w:val="1C2F67"/>
          <w:sz w:val="18"/>
          <w:szCs w:val="18"/>
        </w:rPr>
        <w:t>ýrobce neplátce DPH stane plátcem DPH</w:t>
      </w:r>
      <w:r w:rsidR="00247F64">
        <w:rPr>
          <w:rFonts w:ascii="Arial" w:hAnsi="Arial" w:cs="Arial"/>
          <w:color w:val="1C2F67"/>
          <w:sz w:val="18"/>
          <w:szCs w:val="18"/>
        </w:rPr>
        <w:t>,</w:t>
      </w:r>
      <w:r>
        <w:rPr>
          <w:rFonts w:ascii="Arial" w:hAnsi="Arial" w:cs="Arial"/>
          <w:color w:val="1C2F67"/>
          <w:sz w:val="18"/>
          <w:szCs w:val="18"/>
        </w:rPr>
        <w:t xml:space="preserve"> považuje se sjednaná cena dle smlouvy za cenu bez DPH. V opačném případě, že se </w:t>
      </w:r>
      <w:r w:rsidR="003D31C3">
        <w:rPr>
          <w:rFonts w:ascii="Arial" w:hAnsi="Arial" w:cs="Arial"/>
          <w:color w:val="1C2F67"/>
          <w:sz w:val="18"/>
          <w:szCs w:val="18"/>
        </w:rPr>
        <w:t>V</w:t>
      </w:r>
      <w:r>
        <w:rPr>
          <w:rFonts w:ascii="Arial" w:hAnsi="Arial" w:cs="Arial"/>
          <w:color w:val="1C2F67"/>
          <w:sz w:val="18"/>
          <w:szCs w:val="18"/>
        </w:rPr>
        <w:t>ýrobce plátce DPH</w:t>
      </w:r>
      <w:r w:rsidR="004939F9">
        <w:rPr>
          <w:rFonts w:ascii="Arial" w:hAnsi="Arial" w:cs="Arial"/>
          <w:color w:val="1C2F67"/>
          <w:sz w:val="18"/>
          <w:szCs w:val="18"/>
        </w:rPr>
        <w:t xml:space="preserve"> </w:t>
      </w:r>
      <w:r>
        <w:rPr>
          <w:rFonts w:ascii="Arial" w:hAnsi="Arial" w:cs="Arial"/>
          <w:color w:val="1C2F67"/>
          <w:sz w:val="18"/>
          <w:szCs w:val="18"/>
        </w:rPr>
        <w:t>stane neplátce DPH</w:t>
      </w:r>
      <w:r w:rsidR="003D31C3">
        <w:rPr>
          <w:rFonts w:ascii="Arial" w:hAnsi="Arial" w:cs="Arial"/>
          <w:color w:val="1C2F67"/>
          <w:sz w:val="18"/>
          <w:szCs w:val="18"/>
        </w:rPr>
        <w:t>, p</w:t>
      </w:r>
      <w:r>
        <w:rPr>
          <w:rFonts w:ascii="Arial" w:hAnsi="Arial" w:cs="Arial"/>
          <w:color w:val="1C2F67"/>
          <w:sz w:val="18"/>
          <w:szCs w:val="18"/>
        </w:rPr>
        <w:t xml:space="preserve">ovažuje se sjednaná cena za cenu konečnou.  </w:t>
      </w:r>
    </w:p>
    <w:p w14:paraId="44B865BD" w14:textId="2EE1748C" w:rsidR="00CD2D71"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Dodaná elektřina se vyhodnocuje </w:t>
      </w:r>
      <w:r w:rsidR="00F40E10" w:rsidRPr="0006614B">
        <w:rPr>
          <w:rFonts w:ascii="Arial" w:hAnsi="Arial" w:cs="Arial"/>
          <w:color w:val="1C2F67"/>
          <w:sz w:val="18"/>
          <w:szCs w:val="18"/>
        </w:rPr>
        <w:t>ročně</w:t>
      </w:r>
      <w:r w:rsidRPr="0006614B">
        <w:rPr>
          <w:rFonts w:ascii="Arial" w:hAnsi="Arial" w:cs="Arial"/>
          <w:color w:val="1C2F67"/>
          <w:sz w:val="18"/>
          <w:szCs w:val="18"/>
        </w:rPr>
        <w:t xml:space="preserve"> v MWh se zaokrouhlením na tři desetinná místa.</w:t>
      </w:r>
      <w:r w:rsidR="004939F9">
        <w:rPr>
          <w:rFonts w:ascii="Arial" w:hAnsi="Arial" w:cs="Arial"/>
          <w:color w:val="1C2F67"/>
          <w:sz w:val="18"/>
          <w:szCs w:val="18"/>
        </w:rPr>
        <w:t xml:space="preserve"> </w:t>
      </w:r>
      <w:r w:rsidR="00DE1FCD" w:rsidRPr="0006614B">
        <w:rPr>
          <w:rFonts w:ascii="Arial" w:hAnsi="Arial" w:cs="Arial"/>
          <w:color w:val="1C2F67"/>
          <w:sz w:val="18"/>
          <w:szCs w:val="18"/>
        </w:rPr>
        <w:t xml:space="preserve">Pro fakturaci dodávky elektřiny je fakturačním obdobím kalendářní rok. Datum uskutečnění zdanitelného plnění je </w:t>
      </w:r>
      <w:r w:rsidR="008F534C">
        <w:rPr>
          <w:rFonts w:ascii="Arial" w:hAnsi="Arial" w:cs="Arial"/>
          <w:color w:val="1C2F67"/>
          <w:sz w:val="18"/>
          <w:szCs w:val="18"/>
        </w:rPr>
        <w:t>den vystavení faktury</w:t>
      </w:r>
      <w:r w:rsidR="00DE1FCD" w:rsidRPr="0006614B">
        <w:rPr>
          <w:rFonts w:ascii="Arial" w:hAnsi="Arial" w:cs="Arial"/>
          <w:color w:val="1C2F67"/>
          <w:sz w:val="18"/>
          <w:szCs w:val="18"/>
        </w:rPr>
        <w:t>.</w:t>
      </w:r>
    </w:p>
    <w:p w14:paraId="7123CB97"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Výrobce a PRE se dohodli, že PRE bude vystavovat následující doklady dle této Smlouvy (dále jen „doklady“) jménem </w:t>
      </w:r>
      <w:r w:rsidR="000E697A" w:rsidRPr="0006614B">
        <w:rPr>
          <w:rFonts w:ascii="Arial" w:hAnsi="Arial" w:cs="Arial"/>
          <w:color w:val="1C2F67"/>
          <w:sz w:val="18"/>
          <w:szCs w:val="18"/>
        </w:rPr>
        <w:t>Výrob</w:t>
      </w:r>
      <w:r w:rsidRPr="0006614B">
        <w:rPr>
          <w:rFonts w:ascii="Arial" w:hAnsi="Arial" w:cs="Arial"/>
          <w:color w:val="1C2F67"/>
          <w:sz w:val="18"/>
          <w:szCs w:val="18"/>
        </w:rPr>
        <w:t>ce:</w:t>
      </w:r>
    </w:p>
    <w:p w14:paraId="05464816" w14:textId="77777777" w:rsidR="00A12DAE" w:rsidRPr="0006614B" w:rsidRDefault="00A12DAE" w:rsidP="003E6403">
      <w:pPr>
        <w:pStyle w:val="Odstavecseseznamem"/>
        <w:tabs>
          <w:tab w:val="left" w:pos="567"/>
        </w:tabs>
        <w:spacing w:before="120" w:line="240" w:lineRule="atLeast"/>
        <w:ind w:left="567"/>
        <w:contextualSpacing w:val="0"/>
        <w:jc w:val="both"/>
        <w:rPr>
          <w:rFonts w:ascii="Arial" w:hAnsi="Arial" w:cs="Arial"/>
          <w:color w:val="1C2F67"/>
          <w:sz w:val="18"/>
          <w:szCs w:val="18"/>
        </w:rPr>
      </w:pPr>
      <w:r w:rsidRPr="0006614B">
        <w:rPr>
          <w:rFonts w:ascii="Arial" w:hAnsi="Arial" w:cs="Arial"/>
          <w:color w:val="1C2F67"/>
          <w:sz w:val="18"/>
          <w:szCs w:val="18"/>
        </w:rPr>
        <w:t xml:space="preserve">„Faktura – Daňový doklad“ v případě, je-li </w:t>
      </w:r>
      <w:r w:rsidR="000E697A" w:rsidRPr="0006614B">
        <w:rPr>
          <w:rFonts w:ascii="Arial" w:hAnsi="Arial" w:cs="Arial"/>
          <w:color w:val="1C2F67"/>
          <w:sz w:val="18"/>
          <w:szCs w:val="18"/>
        </w:rPr>
        <w:t>Výrob</w:t>
      </w:r>
      <w:r w:rsidRPr="0006614B">
        <w:rPr>
          <w:rFonts w:ascii="Arial" w:hAnsi="Arial" w:cs="Arial"/>
          <w:color w:val="1C2F67"/>
          <w:sz w:val="18"/>
          <w:szCs w:val="18"/>
        </w:rPr>
        <w:t>ce plátcem DPH</w:t>
      </w:r>
    </w:p>
    <w:p w14:paraId="74481A94" w14:textId="77777777" w:rsidR="00A12DAE" w:rsidRPr="0006614B" w:rsidRDefault="00EF0B9F" w:rsidP="003E6403">
      <w:pPr>
        <w:pStyle w:val="Odstavecseseznamem"/>
        <w:tabs>
          <w:tab w:val="left" w:pos="567"/>
        </w:tabs>
        <w:spacing w:before="120" w:line="240" w:lineRule="atLeast"/>
        <w:ind w:left="567"/>
        <w:contextualSpacing w:val="0"/>
        <w:jc w:val="both"/>
        <w:rPr>
          <w:rFonts w:ascii="Arial" w:hAnsi="Arial" w:cs="Arial"/>
          <w:color w:val="1C2F67"/>
          <w:sz w:val="18"/>
          <w:szCs w:val="18"/>
        </w:rPr>
      </w:pPr>
      <w:r w:rsidRPr="0006614B">
        <w:rPr>
          <w:rFonts w:ascii="Arial" w:hAnsi="Arial" w:cs="Arial"/>
          <w:color w:val="1C2F67"/>
          <w:sz w:val="18"/>
          <w:szCs w:val="18"/>
        </w:rPr>
        <w:t>„Faktura – Není daňový doklad</w:t>
      </w:r>
      <w:r w:rsidR="00A12DAE" w:rsidRPr="0006614B">
        <w:rPr>
          <w:rFonts w:ascii="Arial" w:hAnsi="Arial" w:cs="Arial"/>
          <w:color w:val="1C2F67"/>
          <w:sz w:val="18"/>
          <w:szCs w:val="18"/>
        </w:rPr>
        <w:t xml:space="preserve">“ v případě, není-li </w:t>
      </w:r>
      <w:r w:rsidR="000E697A" w:rsidRPr="0006614B">
        <w:rPr>
          <w:rFonts w:ascii="Arial" w:hAnsi="Arial" w:cs="Arial"/>
          <w:color w:val="1C2F67"/>
          <w:sz w:val="18"/>
          <w:szCs w:val="18"/>
        </w:rPr>
        <w:t>Výrob</w:t>
      </w:r>
      <w:r w:rsidR="00A12DAE" w:rsidRPr="0006614B">
        <w:rPr>
          <w:rFonts w:ascii="Arial" w:hAnsi="Arial" w:cs="Arial"/>
          <w:color w:val="1C2F67"/>
          <w:sz w:val="18"/>
          <w:szCs w:val="18"/>
        </w:rPr>
        <w:t>ce plátcem DPH</w:t>
      </w:r>
    </w:p>
    <w:p w14:paraId="0D308E83" w14:textId="77777777" w:rsidR="00A12DAE" w:rsidRPr="0006614B" w:rsidRDefault="00E9773B"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PRE je oprávněna vystavit nejpozději ve lhůtě 15 dnů ode dne uskutečnění zdanitelného plnění jednotlivé doklady v elektronické podobě dle příslušných právních předpisů</w:t>
      </w:r>
      <w:r w:rsidR="00A12DAE" w:rsidRPr="0006614B">
        <w:rPr>
          <w:rFonts w:ascii="Arial" w:hAnsi="Arial" w:cs="Arial"/>
          <w:color w:val="1C2F67"/>
          <w:sz w:val="18"/>
          <w:szCs w:val="18"/>
        </w:rPr>
        <w:t xml:space="preserve">. PRE dále odešle </w:t>
      </w:r>
      <w:r w:rsidR="00BE0AB0" w:rsidRPr="0006614B">
        <w:rPr>
          <w:rFonts w:ascii="Arial" w:hAnsi="Arial" w:cs="Arial"/>
          <w:color w:val="1C2F67"/>
          <w:sz w:val="18"/>
          <w:szCs w:val="18"/>
        </w:rPr>
        <w:t>tyto</w:t>
      </w:r>
      <w:r w:rsidR="00A12DAE" w:rsidRPr="0006614B">
        <w:rPr>
          <w:rFonts w:ascii="Arial" w:hAnsi="Arial" w:cs="Arial"/>
          <w:color w:val="1C2F67"/>
          <w:sz w:val="18"/>
          <w:szCs w:val="18"/>
        </w:rPr>
        <w:t xml:space="preserve"> doklad</w:t>
      </w:r>
      <w:r w:rsidR="00BE0AB0" w:rsidRPr="0006614B">
        <w:rPr>
          <w:rFonts w:ascii="Arial" w:hAnsi="Arial" w:cs="Arial"/>
          <w:color w:val="1C2F67"/>
          <w:sz w:val="18"/>
          <w:szCs w:val="18"/>
        </w:rPr>
        <w:t>y</w:t>
      </w:r>
      <w:r w:rsidR="00A12DAE" w:rsidRPr="0006614B">
        <w:rPr>
          <w:rFonts w:ascii="Arial" w:hAnsi="Arial" w:cs="Arial"/>
          <w:color w:val="1C2F67"/>
          <w:sz w:val="18"/>
          <w:szCs w:val="18"/>
        </w:rPr>
        <w:t xml:space="preserve"> elektronickou poštou na kontaktní osobu </w:t>
      </w:r>
      <w:r w:rsidR="000E697A" w:rsidRPr="0006614B">
        <w:rPr>
          <w:rFonts w:ascii="Arial" w:hAnsi="Arial" w:cs="Arial"/>
          <w:color w:val="1C2F67"/>
          <w:sz w:val="18"/>
          <w:szCs w:val="18"/>
        </w:rPr>
        <w:t>Výrob</w:t>
      </w:r>
      <w:r w:rsidR="00A12DAE" w:rsidRPr="0006614B">
        <w:rPr>
          <w:rFonts w:ascii="Arial" w:hAnsi="Arial" w:cs="Arial"/>
          <w:color w:val="1C2F67"/>
          <w:sz w:val="18"/>
          <w:szCs w:val="18"/>
        </w:rPr>
        <w:t xml:space="preserve">ce dle </w:t>
      </w:r>
      <w:r w:rsidR="00A93CA8" w:rsidRPr="0006614B">
        <w:rPr>
          <w:rFonts w:ascii="Arial" w:hAnsi="Arial" w:cs="Arial"/>
          <w:color w:val="1C2F67"/>
          <w:sz w:val="18"/>
          <w:szCs w:val="18"/>
        </w:rPr>
        <w:t>Smlouvy</w:t>
      </w:r>
      <w:r w:rsidR="00A12DAE" w:rsidRPr="0006614B">
        <w:rPr>
          <w:rFonts w:ascii="Arial" w:hAnsi="Arial" w:cs="Arial"/>
          <w:color w:val="1C2F67"/>
          <w:sz w:val="18"/>
          <w:szCs w:val="18"/>
        </w:rPr>
        <w:t xml:space="preserve">, a to v den vystavení příslušného </w:t>
      </w:r>
      <w:r w:rsidR="003E453B" w:rsidRPr="0006614B">
        <w:rPr>
          <w:rFonts w:ascii="Arial" w:hAnsi="Arial" w:cs="Arial"/>
          <w:color w:val="1C2F67"/>
          <w:sz w:val="18"/>
          <w:szCs w:val="18"/>
        </w:rPr>
        <w:t>dokladu</w:t>
      </w:r>
      <w:r w:rsidR="00A12DAE" w:rsidRPr="0006614B">
        <w:rPr>
          <w:rFonts w:ascii="Arial" w:hAnsi="Arial" w:cs="Arial"/>
          <w:color w:val="1C2F67"/>
          <w:sz w:val="18"/>
          <w:szCs w:val="18"/>
        </w:rPr>
        <w:t>. Podkladem pro fakturaci jsou naměřené hodnoty odečtené dle Smlouvy a OP</w:t>
      </w:r>
      <w:r w:rsidR="00A6751C" w:rsidRPr="0006614B">
        <w:rPr>
          <w:rFonts w:ascii="Arial" w:hAnsi="Arial" w:cs="Arial"/>
          <w:color w:val="1C2F67"/>
          <w:sz w:val="18"/>
          <w:szCs w:val="18"/>
        </w:rPr>
        <w:t>D</w:t>
      </w:r>
      <w:r w:rsidR="00A12DAE" w:rsidRPr="0006614B">
        <w:rPr>
          <w:rFonts w:ascii="Arial" w:hAnsi="Arial" w:cs="Arial"/>
          <w:color w:val="1C2F67"/>
          <w:sz w:val="18"/>
          <w:szCs w:val="18"/>
        </w:rPr>
        <w:t>.</w:t>
      </w:r>
    </w:p>
    <w:p w14:paraId="1AD7FD0D" w14:textId="77777777" w:rsidR="004A280A"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Výrobce se zavazuje provést bezodkladně, nejpozději však do 2 </w:t>
      </w:r>
      <w:r w:rsidRPr="0006614B">
        <w:rPr>
          <w:rFonts w:ascii="Arial" w:hAnsi="Arial" w:cs="Arial"/>
          <w:color w:val="1C2F67"/>
          <w:sz w:val="18"/>
          <w:szCs w:val="18"/>
        </w:rPr>
        <w:lastRenderedPageBreak/>
        <w:t>pracovních dnů po doručení dokladu, věcnou kontrolu správnosti údajů uvedených na tomto dokladu a zjištěné nesrovnalosti oznámit na kontaktní osobu PRE</w:t>
      </w:r>
      <w:r w:rsidR="009E24F7" w:rsidRPr="0006614B">
        <w:rPr>
          <w:rFonts w:ascii="Arial" w:hAnsi="Arial" w:cs="Arial"/>
          <w:color w:val="1C2F67"/>
          <w:sz w:val="18"/>
          <w:szCs w:val="18"/>
        </w:rPr>
        <w:t xml:space="preserve"> dle Smlouvy</w:t>
      </w:r>
      <w:r w:rsidRPr="0006614B">
        <w:rPr>
          <w:rFonts w:ascii="Arial" w:hAnsi="Arial" w:cs="Arial"/>
          <w:color w:val="1C2F67"/>
          <w:sz w:val="18"/>
          <w:szCs w:val="18"/>
        </w:rPr>
        <w:t>.</w:t>
      </w:r>
    </w:p>
    <w:p w14:paraId="6B139DCF"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PRE se zavazuje provést opravu příslušného dokladu formou vystavení nového dokladu, pokud se </w:t>
      </w:r>
      <w:r w:rsidR="000E697A" w:rsidRPr="0006614B">
        <w:rPr>
          <w:rFonts w:ascii="Arial" w:hAnsi="Arial" w:cs="Arial"/>
          <w:color w:val="1C2F67"/>
          <w:sz w:val="18"/>
          <w:szCs w:val="18"/>
        </w:rPr>
        <w:t>Výrob</w:t>
      </w:r>
      <w:r w:rsidRPr="0006614B">
        <w:rPr>
          <w:rFonts w:ascii="Arial" w:hAnsi="Arial" w:cs="Arial"/>
          <w:color w:val="1C2F67"/>
          <w:sz w:val="18"/>
          <w:szCs w:val="18"/>
        </w:rPr>
        <w:t>ce a PRE nedohodnou jinak.</w:t>
      </w:r>
    </w:p>
    <w:p w14:paraId="6A99EFFA" w14:textId="77777777" w:rsidR="00A2395B"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V případě, že </w:t>
      </w:r>
      <w:r w:rsidR="000E697A" w:rsidRPr="0006614B">
        <w:rPr>
          <w:rFonts w:ascii="Arial" w:hAnsi="Arial" w:cs="Arial"/>
          <w:color w:val="1C2F67"/>
          <w:sz w:val="18"/>
          <w:szCs w:val="18"/>
        </w:rPr>
        <w:t>Výrob</w:t>
      </w:r>
      <w:r w:rsidRPr="0006614B">
        <w:rPr>
          <w:rFonts w:ascii="Arial" w:hAnsi="Arial" w:cs="Arial"/>
          <w:color w:val="1C2F67"/>
          <w:sz w:val="18"/>
          <w:szCs w:val="18"/>
        </w:rPr>
        <w:t>ce neo</w:t>
      </w:r>
      <w:r w:rsidR="002955C2" w:rsidRPr="0006614B">
        <w:rPr>
          <w:rFonts w:ascii="Arial" w:hAnsi="Arial" w:cs="Arial"/>
          <w:color w:val="1C2F67"/>
          <w:sz w:val="18"/>
          <w:szCs w:val="18"/>
        </w:rPr>
        <w:t xml:space="preserve">známí PRE </w:t>
      </w:r>
      <w:r w:rsidRPr="0006614B">
        <w:rPr>
          <w:rFonts w:ascii="Arial" w:hAnsi="Arial" w:cs="Arial"/>
          <w:color w:val="1C2F67"/>
          <w:sz w:val="18"/>
          <w:szCs w:val="18"/>
        </w:rPr>
        <w:t>svoje námitky proti správnosti údajů uvedených na příslušném dokladu, považuje PR</w:t>
      </w:r>
      <w:r w:rsidR="000770B1" w:rsidRPr="0006614B">
        <w:rPr>
          <w:rFonts w:ascii="Arial" w:hAnsi="Arial" w:cs="Arial"/>
          <w:color w:val="1C2F67"/>
          <w:sz w:val="18"/>
          <w:szCs w:val="18"/>
        </w:rPr>
        <w:t xml:space="preserve">E tyto údaje za správné a </w:t>
      </w:r>
      <w:r w:rsidRPr="0006614B">
        <w:rPr>
          <w:rFonts w:ascii="Arial" w:hAnsi="Arial" w:cs="Arial"/>
          <w:color w:val="1C2F67"/>
          <w:sz w:val="18"/>
          <w:szCs w:val="18"/>
        </w:rPr>
        <w:t>za</w:t>
      </w:r>
      <w:r w:rsidR="0017232A" w:rsidRPr="0006614B">
        <w:rPr>
          <w:rFonts w:ascii="Arial" w:hAnsi="Arial" w:cs="Arial"/>
          <w:color w:val="1C2F67"/>
          <w:sz w:val="18"/>
          <w:szCs w:val="18"/>
        </w:rPr>
        <w:t> odsouhlasené</w:t>
      </w:r>
      <w:r w:rsidRPr="0006614B">
        <w:rPr>
          <w:rFonts w:ascii="Arial" w:hAnsi="Arial" w:cs="Arial"/>
          <w:color w:val="1C2F67"/>
          <w:sz w:val="18"/>
          <w:szCs w:val="18"/>
        </w:rPr>
        <w:t>.</w:t>
      </w:r>
    </w:p>
    <w:p w14:paraId="2E984BAC" w14:textId="77777777" w:rsidR="00A12DAE" w:rsidRPr="0006614B" w:rsidRDefault="00DE1FCD"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Splatnost faktury je do 22. kalendářního dne po skončení příslušného fakturačního období, tj. po skončení příslušného roku</w:t>
      </w:r>
      <w:r w:rsidR="00BE0AB0" w:rsidRPr="0006614B">
        <w:rPr>
          <w:rFonts w:ascii="Arial" w:hAnsi="Arial" w:cs="Arial"/>
          <w:color w:val="1C2F67"/>
          <w:sz w:val="18"/>
          <w:szCs w:val="18"/>
        </w:rPr>
        <w:t>.</w:t>
      </w:r>
      <w:r w:rsidRPr="0006614B">
        <w:rPr>
          <w:rFonts w:ascii="Arial" w:hAnsi="Arial" w:cs="Arial"/>
          <w:color w:val="1C2F67"/>
          <w:sz w:val="18"/>
          <w:szCs w:val="18"/>
        </w:rPr>
        <w:t xml:space="preserve"> Tato lhůta může být adekvátně posunuta v případě, že nedojd</w:t>
      </w:r>
      <w:r w:rsidR="007D456A" w:rsidRPr="0006614B">
        <w:rPr>
          <w:rFonts w:ascii="Arial" w:hAnsi="Arial" w:cs="Arial"/>
          <w:color w:val="1C2F67"/>
          <w:sz w:val="18"/>
          <w:szCs w:val="18"/>
        </w:rPr>
        <w:t xml:space="preserve">e </w:t>
      </w:r>
      <w:r w:rsidRPr="0006614B">
        <w:rPr>
          <w:rFonts w:ascii="Arial" w:hAnsi="Arial" w:cs="Arial"/>
          <w:color w:val="1C2F67"/>
          <w:sz w:val="18"/>
          <w:szCs w:val="18"/>
        </w:rPr>
        <w:t>ze strany územně příslušného provozovatele distribuční soustavy k předání údajů z</w:t>
      </w:r>
      <w:r w:rsidR="007D456A" w:rsidRPr="0006614B">
        <w:rPr>
          <w:rFonts w:ascii="Arial" w:hAnsi="Arial" w:cs="Arial"/>
          <w:color w:val="1C2F67"/>
          <w:sz w:val="18"/>
          <w:szCs w:val="18"/>
        </w:rPr>
        <w:t> </w:t>
      </w:r>
      <w:r w:rsidRPr="0006614B">
        <w:rPr>
          <w:rFonts w:ascii="Arial" w:hAnsi="Arial" w:cs="Arial"/>
          <w:color w:val="1C2F67"/>
          <w:sz w:val="18"/>
          <w:szCs w:val="18"/>
        </w:rPr>
        <w:t>měření</w:t>
      </w:r>
      <w:r w:rsidR="007D456A" w:rsidRPr="0006614B">
        <w:rPr>
          <w:rFonts w:ascii="Arial" w:hAnsi="Arial" w:cs="Arial"/>
          <w:color w:val="1C2F67"/>
          <w:sz w:val="18"/>
          <w:szCs w:val="18"/>
        </w:rPr>
        <w:t>.</w:t>
      </w:r>
    </w:p>
    <w:p w14:paraId="239BD702"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Pro platby dle Smlouvy není stanovena zálohová platba.</w:t>
      </w:r>
    </w:p>
    <w:p w14:paraId="2C94332E"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Veškeré faktury budou vystaveny v souladu s příslušnými právními předpisy.</w:t>
      </w:r>
      <w:r w:rsidR="00C81FBA">
        <w:rPr>
          <w:rFonts w:ascii="Arial" w:hAnsi="Arial" w:cs="Arial"/>
          <w:color w:val="1C2F67"/>
          <w:sz w:val="18"/>
          <w:szCs w:val="18"/>
        </w:rPr>
        <w:t xml:space="preserve"> Pokud je </w:t>
      </w:r>
      <w:r w:rsidR="003D31C3">
        <w:rPr>
          <w:rFonts w:ascii="Arial" w:hAnsi="Arial" w:cs="Arial"/>
          <w:color w:val="1C2F67"/>
          <w:sz w:val="18"/>
          <w:szCs w:val="18"/>
        </w:rPr>
        <w:t>V</w:t>
      </w:r>
      <w:r w:rsidR="00C81FBA">
        <w:rPr>
          <w:rFonts w:ascii="Arial" w:hAnsi="Arial" w:cs="Arial"/>
          <w:color w:val="1C2F67"/>
          <w:sz w:val="18"/>
          <w:szCs w:val="18"/>
        </w:rPr>
        <w:t>ýrobce plátcem DPH, bude na daňovém dokladu uveden text: „Daň odvede zákazník“.</w:t>
      </w:r>
      <w:r w:rsidR="004939F9">
        <w:rPr>
          <w:rFonts w:ascii="Arial" w:hAnsi="Arial" w:cs="Arial"/>
          <w:color w:val="1C2F67"/>
          <w:sz w:val="18"/>
          <w:szCs w:val="18"/>
        </w:rPr>
        <w:t xml:space="preserve"> </w:t>
      </w:r>
      <w:r w:rsidR="008275E5">
        <w:rPr>
          <w:rFonts w:ascii="Arial" w:hAnsi="Arial" w:cs="Arial"/>
          <w:color w:val="1C2F67"/>
          <w:sz w:val="18"/>
          <w:szCs w:val="18"/>
        </w:rPr>
        <w:t xml:space="preserve">V případě, že dodavatel není plátce DPH jedná se o cenu konečnou. </w:t>
      </w:r>
    </w:p>
    <w:p w14:paraId="4C7C422E"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Výrobce zplnomocňuje PRE</w:t>
      </w:r>
      <w:r w:rsidR="0094697D" w:rsidRPr="0006614B">
        <w:rPr>
          <w:rFonts w:ascii="Arial" w:hAnsi="Arial" w:cs="Arial"/>
          <w:color w:val="1C2F67"/>
          <w:sz w:val="18"/>
          <w:szCs w:val="18"/>
        </w:rPr>
        <w:t xml:space="preserve"> k vystavení dokladů dle odst. 4</w:t>
      </w:r>
      <w:r w:rsidRPr="0006614B">
        <w:rPr>
          <w:rFonts w:ascii="Arial" w:hAnsi="Arial" w:cs="Arial"/>
          <w:color w:val="1C2F67"/>
          <w:sz w:val="18"/>
          <w:szCs w:val="18"/>
        </w:rPr>
        <w:t xml:space="preserve"> tohoto čl</w:t>
      </w:r>
      <w:r w:rsidR="00A93CA8" w:rsidRPr="0006614B">
        <w:rPr>
          <w:rFonts w:ascii="Arial" w:hAnsi="Arial" w:cs="Arial"/>
          <w:color w:val="1C2F67"/>
          <w:sz w:val="18"/>
          <w:szCs w:val="18"/>
        </w:rPr>
        <w:t>ánku</w:t>
      </w:r>
      <w:r w:rsidRPr="0006614B">
        <w:rPr>
          <w:rFonts w:ascii="Arial" w:hAnsi="Arial" w:cs="Arial"/>
          <w:color w:val="1C2F67"/>
          <w:sz w:val="18"/>
          <w:szCs w:val="18"/>
        </w:rPr>
        <w:t xml:space="preserve"> svým jménem a zavazuje se, že přijme vše</w:t>
      </w:r>
      <w:r w:rsidR="002B5041" w:rsidRPr="0006614B">
        <w:rPr>
          <w:rFonts w:ascii="Arial" w:hAnsi="Arial" w:cs="Arial"/>
          <w:color w:val="1C2F67"/>
          <w:sz w:val="18"/>
          <w:szCs w:val="18"/>
        </w:rPr>
        <w:t>chny takto vy</w:t>
      </w:r>
      <w:r w:rsidRPr="0006614B">
        <w:rPr>
          <w:rFonts w:ascii="Arial" w:hAnsi="Arial" w:cs="Arial"/>
          <w:color w:val="1C2F67"/>
          <w:sz w:val="18"/>
          <w:szCs w:val="18"/>
        </w:rPr>
        <w:t xml:space="preserve">stavené doklady. </w:t>
      </w:r>
    </w:p>
    <w:p w14:paraId="5603A9B7"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Fakturovaná splňuje definici ekologicky šetrné elektřiny</w:t>
      </w:r>
      <w:r w:rsidR="00C81FBA">
        <w:rPr>
          <w:rFonts w:ascii="Arial" w:hAnsi="Arial" w:cs="Arial"/>
          <w:color w:val="1C2F67"/>
          <w:sz w:val="18"/>
          <w:szCs w:val="18"/>
        </w:rPr>
        <w:t xml:space="preserve"> dle platné legislativy</w:t>
      </w:r>
      <w:r w:rsidR="006A2878">
        <w:rPr>
          <w:rFonts w:ascii="Arial" w:hAnsi="Arial" w:cs="Arial"/>
          <w:color w:val="1C2F67"/>
          <w:sz w:val="18"/>
          <w:szCs w:val="18"/>
        </w:rPr>
        <w:t>,</w:t>
      </w:r>
      <w:r w:rsidRPr="0006614B">
        <w:rPr>
          <w:rFonts w:ascii="Arial" w:hAnsi="Arial" w:cs="Arial"/>
          <w:color w:val="1C2F67"/>
          <w:sz w:val="18"/>
          <w:szCs w:val="18"/>
        </w:rPr>
        <w:t xml:space="preserve"> uvedené sdělení bude současně uvedeno na faktuře.</w:t>
      </w:r>
    </w:p>
    <w:p w14:paraId="6592A480" w14:textId="77777777" w:rsidR="00A12DAE" w:rsidRPr="0006614B" w:rsidRDefault="00A12DAE" w:rsidP="000B2B9D">
      <w:pPr>
        <w:pStyle w:val="Odstavecseseznamem"/>
        <w:numPr>
          <w:ilvl w:val="0"/>
          <w:numId w:val="27"/>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Pro účely PRE bude na daňových dokladech uvedeno identifikační označení </w:t>
      </w:r>
      <w:r w:rsidR="000E697A" w:rsidRPr="0006614B">
        <w:rPr>
          <w:rFonts w:ascii="Arial" w:hAnsi="Arial" w:cs="Arial"/>
          <w:color w:val="1C2F67"/>
          <w:sz w:val="18"/>
          <w:szCs w:val="18"/>
        </w:rPr>
        <w:t>Výrob</w:t>
      </w:r>
      <w:r w:rsidRPr="0006614B">
        <w:rPr>
          <w:rFonts w:ascii="Arial" w:hAnsi="Arial" w:cs="Arial"/>
          <w:color w:val="1C2F67"/>
          <w:sz w:val="18"/>
          <w:szCs w:val="18"/>
        </w:rPr>
        <w:t>ce.</w:t>
      </w:r>
    </w:p>
    <w:p w14:paraId="45BDA63B" w14:textId="77777777" w:rsidR="00A2395B" w:rsidRPr="0006614B" w:rsidRDefault="004A280A" w:rsidP="009210A0">
      <w:pPr>
        <w:pStyle w:val="Nadpis1"/>
        <w:spacing w:before="0"/>
        <w:ind w:left="283" w:hanging="170"/>
        <w:rPr>
          <w:rFonts w:ascii="Arial" w:hAnsi="Arial" w:cs="Arial"/>
          <w:color w:val="1C2F67"/>
          <w:sz w:val="18"/>
          <w:szCs w:val="18"/>
        </w:rPr>
      </w:pPr>
      <w:r w:rsidRPr="0006614B">
        <w:rPr>
          <w:rFonts w:ascii="Arial" w:hAnsi="Arial" w:cs="Arial"/>
          <w:color w:val="1C2F67"/>
          <w:sz w:val="18"/>
          <w:szCs w:val="18"/>
        </w:rPr>
        <w:t>Řešení sporů a další ujednání</w:t>
      </w:r>
    </w:p>
    <w:p w14:paraId="179EF636" w14:textId="77777777" w:rsidR="004A280A" w:rsidRPr="0006614B" w:rsidRDefault="00A6751C" w:rsidP="006F3294">
      <w:pPr>
        <w:pStyle w:val="Odstavecseseznamem"/>
        <w:numPr>
          <w:ilvl w:val="0"/>
          <w:numId w:val="29"/>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Smluvní strany se zavazují, že budou postupovat tak, aby případné spory vyplývající z</w:t>
      </w:r>
      <w:r w:rsidR="009E24F7" w:rsidRPr="0006614B">
        <w:rPr>
          <w:rFonts w:ascii="Arial" w:hAnsi="Arial" w:cs="Arial"/>
          <w:color w:val="1C2F67"/>
          <w:sz w:val="18"/>
          <w:szCs w:val="18"/>
        </w:rPr>
        <w:t>e</w:t>
      </w:r>
      <w:r w:rsidRPr="0006614B">
        <w:rPr>
          <w:rFonts w:ascii="Arial" w:hAnsi="Arial" w:cs="Arial"/>
          <w:color w:val="1C2F67"/>
          <w:sz w:val="18"/>
          <w:szCs w:val="18"/>
        </w:rPr>
        <w:t xml:space="preserve"> Smlouvy </w:t>
      </w:r>
      <w:r w:rsidR="009E24F7" w:rsidRPr="0006614B">
        <w:rPr>
          <w:rFonts w:ascii="Arial" w:hAnsi="Arial" w:cs="Arial"/>
          <w:color w:val="1C2F67"/>
          <w:sz w:val="18"/>
          <w:szCs w:val="18"/>
        </w:rPr>
        <w:t xml:space="preserve">a OPD </w:t>
      </w:r>
      <w:r w:rsidRPr="0006614B">
        <w:rPr>
          <w:rFonts w:ascii="Arial" w:hAnsi="Arial" w:cs="Arial"/>
          <w:color w:val="1C2F67"/>
          <w:sz w:val="18"/>
          <w:szCs w:val="18"/>
        </w:rPr>
        <w:t>byly urovnány smírnou cestou. Zavazují se postupovat tak, aby situace byla objektivně vyřešena a k dosažení tohoto cíle si poskytovat potřebnou součinnost</w:t>
      </w:r>
      <w:r w:rsidR="004A280A" w:rsidRPr="0006614B">
        <w:rPr>
          <w:rFonts w:ascii="Arial" w:hAnsi="Arial" w:cs="Arial"/>
          <w:color w:val="1C2F67"/>
          <w:sz w:val="18"/>
          <w:szCs w:val="18"/>
        </w:rPr>
        <w:t>.</w:t>
      </w:r>
    </w:p>
    <w:p w14:paraId="485821C0" w14:textId="3E80BF31" w:rsidR="004A280A" w:rsidRPr="0006614B" w:rsidRDefault="00A6751C" w:rsidP="009210A0">
      <w:pPr>
        <w:pStyle w:val="Odstavecseseznamem"/>
        <w:numPr>
          <w:ilvl w:val="0"/>
          <w:numId w:val="29"/>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Spory, které se nepodaří vyřešit vzájemným jednáním smluvních stran a spadají do působnosti Energetického regulačního úřadu (dále „ERÚ“) dle energetického zákona, budou předloženy k rozhodnutí ERÚ. Ostatní spory budou předloženy k rozhodnutí příslušnému soudu</w:t>
      </w:r>
      <w:r w:rsidR="004A280A" w:rsidRPr="0006614B">
        <w:rPr>
          <w:rFonts w:ascii="Arial" w:hAnsi="Arial" w:cs="Arial"/>
          <w:color w:val="1C2F67"/>
          <w:sz w:val="18"/>
          <w:szCs w:val="18"/>
        </w:rPr>
        <w:t>.</w:t>
      </w:r>
    </w:p>
    <w:p w14:paraId="78139C10" w14:textId="77777777" w:rsidR="00D41CCB" w:rsidRPr="0006614B" w:rsidRDefault="00A6751C" w:rsidP="009210A0">
      <w:pPr>
        <w:pStyle w:val="Odstavecseseznamem"/>
        <w:numPr>
          <w:ilvl w:val="0"/>
          <w:numId w:val="29"/>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Smluvní strany se zavazují, že žádná z nich neposkytne bez písemného souhlasu druhé strany informace o obsahu Smlouvy</w:t>
      </w:r>
      <w:r w:rsidR="009E24F7" w:rsidRPr="0006614B">
        <w:rPr>
          <w:rFonts w:ascii="Arial" w:hAnsi="Arial" w:cs="Arial"/>
          <w:color w:val="1C2F67"/>
          <w:sz w:val="18"/>
          <w:szCs w:val="18"/>
        </w:rPr>
        <w:t xml:space="preserve"> a OPD</w:t>
      </w:r>
      <w:r w:rsidRPr="0006614B">
        <w:rPr>
          <w:rFonts w:ascii="Arial" w:hAnsi="Arial" w:cs="Arial"/>
          <w:color w:val="1C2F67"/>
          <w:sz w:val="18"/>
          <w:szCs w:val="18"/>
        </w:rPr>
        <w:t>, a to ani v dílčím rozsahu, třetí straně, vyjma případů, kdy jsou informace poskytnuty při plnění povinnosti vyplývající ze zákona nebo uložené rozhodnutím nebo výzvou soudu či státního orgánu nebo při uplatnění jakýchkoli nároků či práv vyplývajících z</w:t>
      </w:r>
      <w:r w:rsidR="009E24F7" w:rsidRPr="0006614B">
        <w:rPr>
          <w:rFonts w:ascii="Arial" w:hAnsi="Arial" w:cs="Arial"/>
          <w:color w:val="1C2F67"/>
          <w:sz w:val="18"/>
          <w:szCs w:val="18"/>
        </w:rPr>
        <w:t>e</w:t>
      </w:r>
      <w:r w:rsidRPr="0006614B">
        <w:rPr>
          <w:rFonts w:ascii="Arial" w:hAnsi="Arial" w:cs="Arial"/>
          <w:color w:val="1C2F67"/>
          <w:sz w:val="18"/>
          <w:szCs w:val="18"/>
        </w:rPr>
        <w:t xml:space="preserve"> Smlouvy</w:t>
      </w:r>
      <w:r w:rsidR="009E24F7" w:rsidRPr="0006614B">
        <w:rPr>
          <w:rFonts w:ascii="Arial" w:hAnsi="Arial" w:cs="Arial"/>
          <w:color w:val="1C2F67"/>
          <w:sz w:val="18"/>
          <w:szCs w:val="18"/>
        </w:rPr>
        <w:t xml:space="preserve"> a OPD</w:t>
      </w:r>
      <w:r w:rsidRPr="0006614B">
        <w:rPr>
          <w:rFonts w:ascii="Arial" w:hAnsi="Arial" w:cs="Arial"/>
          <w:color w:val="1C2F67"/>
          <w:sz w:val="18"/>
          <w:szCs w:val="18"/>
        </w:rPr>
        <w:t>. Tato povinnost trvá i po ukončení Smlouvy</w:t>
      </w:r>
      <w:r w:rsidR="004A280A" w:rsidRPr="0006614B">
        <w:rPr>
          <w:rFonts w:ascii="Arial" w:hAnsi="Arial" w:cs="Arial"/>
          <w:color w:val="1C2F67"/>
          <w:sz w:val="18"/>
          <w:szCs w:val="18"/>
        </w:rPr>
        <w:t xml:space="preserve">. </w:t>
      </w:r>
    </w:p>
    <w:p w14:paraId="2356FF6F" w14:textId="77777777" w:rsidR="00D41CCB" w:rsidRPr="0006614B" w:rsidRDefault="00A6751C" w:rsidP="009210A0">
      <w:pPr>
        <w:pStyle w:val="Odstavecseseznamem"/>
        <w:numPr>
          <w:ilvl w:val="0"/>
          <w:numId w:val="29"/>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Výrobce je povinen zajistit na vyžádání PRE záruku původu elektřiny z obnovitelných zdrojů a tuto záruku poskytnout PRE. Výrobce se zavazuje nepostoupit záruky původu elektřiny z obnovitelných zdrojů třetí osobě. Pokud by tak učinil, je povinen PRE uhradit veškeré vzniklé škody a náklady s tím spojené</w:t>
      </w:r>
      <w:r w:rsidR="00D41CCB" w:rsidRPr="0006614B">
        <w:rPr>
          <w:rFonts w:ascii="Arial" w:hAnsi="Arial" w:cs="Arial"/>
          <w:color w:val="1C2F67"/>
          <w:sz w:val="18"/>
          <w:szCs w:val="18"/>
        </w:rPr>
        <w:t>.</w:t>
      </w:r>
    </w:p>
    <w:p w14:paraId="5B921545" w14:textId="77777777" w:rsidR="004A280A" w:rsidRPr="0006614B" w:rsidRDefault="004A280A" w:rsidP="006F3294">
      <w:pPr>
        <w:pStyle w:val="Nadpis1"/>
        <w:spacing w:before="0"/>
        <w:ind w:left="283" w:hanging="170"/>
        <w:rPr>
          <w:rFonts w:ascii="Arial" w:hAnsi="Arial" w:cs="Arial"/>
          <w:color w:val="1C2F67"/>
          <w:sz w:val="18"/>
          <w:szCs w:val="18"/>
        </w:rPr>
      </w:pPr>
      <w:r w:rsidRPr="0006614B">
        <w:rPr>
          <w:rFonts w:ascii="Arial" w:hAnsi="Arial" w:cs="Arial"/>
          <w:color w:val="1C2F67"/>
          <w:sz w:val="18"/>
          <w:szCs w:val="18"/>
        </w:rPr>
        <w:t>Závěrečná ustanovení</w:t>
      </w:r>
    </w:p>
    <w:p w14:paraId="0E46F101" w14:textId="77777777" w:rsidR="004A280A" w:rsidRPr="0006614B" w:rsidRDefault="004A280A" w:rsidP="006F3294">
      <w:pPr>
        <w:pStyle w:val="Odstavecseseznamem"/>
        <w:numPr>
          <w:ilvl w:val="0"/>
          <w:numId w:val="3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Výrobce </w:t>
      </w:r>
      <w:r w:rsidR="003D31C3">
        <w:rPr>
          <w:rFonts w:ascii="Arial" w:hAnsi="Arial" w:cs="Arial"/>
          <w:color w:val="1C2F67"/>
          <w:sz w:val="18"/>
          <w:szCs w:val="18"/>
        </w:rPr>
        <w:t>předá PRE na počátku odhad celkového množství elektřiny, které dodá v kalendářním roce s rozpisem na jednotlivá čtvrtletí</w:t>
      </w:r>
      <w:r w:rsidRPr="0006614B">
        <w:rPr>
          <w:rFonts w:ascii="Arial" w:hAnsi="Arial" w:cs="Arial"/>
          <w:color w:val="1C2F67"/>
          <w:sz w:val="18"/>
          <w:szCs w:val="18"/>
        </w:rPr>
        <w:t>.</w:t>
      </w:r>
    </w:p>
    <w:p w14:paraId="52986D48" w14:textId="77777777" w:rsidR="009711CA" w:rsidRPr="004B306E" w:rsidRDefault="009711CA" w:rsidP="009711CA">
      <w:pPr>
        <w:pStyle w:val="Odstavecseseznamem"/>
        <w:numPr>
          <w:ilvl w:val="0"/>
          <w:numId w:val="31"/>
        </w:numPr>
        <w:ind w:left="284" w:hanging="284"/>
        <w:contextualSpacing w:val="0"/>
        <w:jc w:val="both"/>
        <w:rPr>
          <w:rFonts w:ascii="Arial" w:hAnsi="Arial" w:cs="Arial"/>
          <w:color w:val="1C2F67"/>
          <w:sz w:val="18"/>
          <w:szCs w:val="18"/>
        </w:rPr>
      </w:pPr>
      <w:r w:rsidRPr="004B306E">
        <w:rPr>
          <w:rFonts w:ascii="Arial" w:hAnsi="Arial" w:cs="Arial"/>
          <w:color w:val="1C2F67"/>
          <w:sz w:val="18"/>
          <w:szCs w:val="18"/>
        </w:rPr>
        <w:t xml:space="preserve">Vztahuje-li se na druhou smluvní stranu ochrana osobních údajů dle zvláštních právních předpisů, pak pro účely plnění této </w:t>
      </w:r>
      <w:r w:rsidR="003D31C3">
        <w:rPr>
          <w:rFonts w:ascii="Arial" w:hAnsi="Arial" w:cs="Arial"/>
          <w:color w:val="1C2F67"/>
          <w:sz w:val="18"/>
          <w:szCs w:val="18"/>
        </w:rPr>
        <w:t>S</w:t>
      </w:r>
      <w:r w:rsidRPr="004B306E">
        <w:rPr>
          <w:rFonts w:ascii="Arial" w:hAnsi="Arial" w:cs="Arial"/>
          <w:color w:val="1C2F67"/>
          <w:sz w:val="18"/>
          <w:szCs w:val="18"/>
        </w:rPr>
        <w:t xml:space="preserve">mlouvy je společnost Pražská energetika, a.s. správcem osobních údajů druhé smluvní strany a osobní údaje takto získané zpracovává za účelem uzavření a plnění této </w:t>
      </w:r>
      <w:r w:rsidR="003D31C3">
        <w:rPr>
          <w:rFonts w:ascii="Arial" w:hAnsi="Arial" w:cs="Arial"/>
          <w:color w:val="1C2F67"/>
          <w:sz w:val="18"/>
          <w:szCs w:val="18"/>
        </w:rPr>
        <w:t>S</w:t>
      </w:r>
      <w:r w:rsidRPr="004B306E">
        <w:rPr>
          <w:rFonts w:ascii="Arial" w:hAnsi="Arial" w:cs="Arial"/>
          <w:color w:val="1C2F67"/>
          <w:sz w:val="18"/>
          <w:szCs w:val="18"/>
        </w:rPr>
        <w:t>mlouvy a pro účely oprávněných zájmů správce.</w:t>
      </w:r>
    </w:p>
    <w:p w14:paraId="3CA54CA8" w14:textId="77777777" w:rsidR="009711CA" w:rsidRPr="004B306E" w:rsidRDefault="009711CA" w:rsidP="009711CA">
      <w:pPr>
        <w:pStyle w:val="Odstavecseseznamem"/>
        <w:numPr>
          <w:ilvl w:val="0"/>
          <w:numId w:val="31"/>
        </w:numPr>
        <w:ind w:left="284" w:hanging="284"/>
        <w:contextualSpacing w:val="0"/>
        <w:jc w:val="both"/>
        <w:rPr>
          <w:rFonts w:ascii="Arial" w:hAnsi="Arial" w:cs="Arial"/>
          <w:color w:val="1C2F67"/>
          <w:sz w:val="18"/>
          <w:szCs w:val="18"/>
        </w:rPr>
      </w:pPr>
      <w:r w:rsidRPr="004B306E">
        <w:rPr>
          <w:rFonts w:ascii="Arial" w:hAnsi="Arial" w:cs="Arial"/>
          <w:color w:val="1C2F67"/>
          <w:sz w:val="18"/>
          <w:szCs w:val="18"/>
        </w:rPr>
        <w:t xml:space="preserve">Veškeré podrobnosti o zpracování osobních údajů, včetně specifik zpracování osobních údajů členů statutárních orgánů, zaměstnanců příp. dalších osob zastupujících druhou smluvní stranu a práv, které subjekty údajů v souvislosti se zpracováním svých osobních údajů mají, jsou uvedeny v dokumentech: „Zásady ochrany osobních údajů“ a „Zpracování osobních údajů kontaktních osob obchodního partnera“, se kterými byla druhá smluvní strana před podpisem této </w:t>
      </w:r>
      <w:r w:rsidR="003D31C3">
        <w:rPr>
          <w:rFonts w:ascii="Arial" w:hAnsi="Arial" w:cs="Arial"/>
          <w:color w:val="1C2F67"/>
          <w:sz w:val="18"/>
          <w:szCs w:val="18"/>
        </w:rPr>
        <w:t>S</w:t>
      </w:r>
      <w:r w:rsidRPr="004B306E">
        <w:rPr>
          <w:rFonts w:ascii="Arial" w:hAnsi="Arial" w:cs="Arial"/>
          <w:color w:val="1C2F67"/>
          <w:sz w:val="18"/>
          <w:szCs w:val="18"/>
        </w:rPr>
        <w:t>mlouvy seznámena a které jsou dostupné na webových stránkách správce.</w:t>
      </w:r>
    </w:p>
    <w:p w14:paraId="2C7A9948" w14:textId="6D8A9FBA" w:rsidR="004A280A" w:rsidRPr="0006614B" w:rsidRDefault="004A280A" w:rsidP="006F3294">
      <w:pPr>
        <w:pStyle w:val="Odstavecseseznamem"/>
        <w:numPr>
          <w:ilvl w:val="0"/>
          <w:numId w:val="3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Ve věcech neupravených OP</w:t>
      </w:r>
      <w:r w:rsidR="009E24F7" w:rsidRPr="0006614B">
        <w:rPr>
          <w:rFonts w:ascii="Arial" w:hAnsi="Arial" w:cs="Arial"/>
          <w:color w:val="1C2F67"/>
          <w:sz w:val="18"/>
          <w:szCs w:val="18"/>
        </w:rPr>
        <w:t>D</w:t>
      </w:r>
      <w:r w:rsidRPr="0006614B">
        <w:rPr>
          <w:rFonts w:ascii="Arial" w:hAnsi="Arial" w:cs="Arial"/>
          <w:color w:val="1C2F67"/>
          <w:sz w:val="18"/>
          <w:szCs w:val="18"/>
        </w:rPr>
        <w:t xml:space="preserve"> nebo Smlouvou</w:t>
      </w:r>
      <w:r w:rsidR="000770B1" w:rsidRPr="0006614B">
        <w:rPr>
          <w:rFonts w:ascii="Arial" w:hAnsi="Arial" w:cs="Arial"/>
          <w:color w:val="1C2F67"/>
          <w:sz w:val="18"/>
          <w:szCs w:val="18"/>
        </w:rPr>
        <w:t xml:space="preserve"> </w:t>
      </w:r>
      <w:r w:rsidRPr="0006614B">
        <w:rPr>
          <w:rFonts w:ascii="Arial" w:hAnsi="Arial" w:cs="Arial"/>
          <w:color w:val="1C2F67"/>
          <w:sz w:val="18"/>
          <w:szCs w:val="18"/>
        </w:rPr>
        <w:t xml:space="preserve">budou smluvní strany postupovat podle </w:t>
      </w:r>
      <w:r w:rsidR="009E24F7" w:rsidRPr="0006614B">
        <w:rPr>
          <w:rFonts w:ascii="Arial" w:hAnsi="Arial" w:cs="Arial"/>
          <w:color w:val="1C2F67"/>
          <w:sz w:val="18"/>
          <w:szCs w:val="18"/>
        </w:rPr>
        <w:t>e</w:t>
      </w:r>
      <w:r w:rsidRPr="0006614B">
        <w:rPr>
          <w:rFonts w:ascii="Arial" w:hAnsi="Arial" w:cs="Arial"/>
          <w:color w:val="1C2F67"/>
          <w:sz w:val="18"/>
          <w:szCs w:val="18"/>
        </w:rPr>
        <w:t xml:space="preserve">nergetického zákona, podle příslušných prováděcích předpisů a dále podle příslušných ustanovení </w:t>
      </w:r>
      <w:r w:rsidR="009E24F7" w:rsidRPr="0006614B">
        <w:rPr>
          <w:rFonts w:ascii="Arial" w:hAnsi="Arial" w:cs="Arial"/>
          <w:color w:val="1C2F67"/>
          <w:sz w:val="18"/>
          <w:szCs w:val="18"/>
        </w:rPr>
        <w:t>občanského</w:t>
      </w:r>
      <w:r w:rsidRPr="0006614B">
        <w:rPr>
          <w:rFonts w:ascii="Arial" w:hAnsi="Arial" w:cs="Arial"/>
          <w:color w:val="1C2F67"/>
          <w:sz w:val="18"/>
          <w:szCs w:val="18"/>
        </w:rPr>
        <w:t xml:space="preserve"> zákoníku.</w:t>
      </w:r>
    </w:p>
    <w:p w14:paraId="7657273C" w14:textId="77777777" w:rsidR="00A6751C" w:rsidRPr="0006614B" w:rsidRDefault="00A6751C" w:rsidP="006F3294">
      <w:pPr>
        <w:pStyle w:val="Odstavecseseznamem"/>
        <w:numPr>
          <w:ilvl w:val="0"/>
          <w:numId w:val="3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V případě vydání obecně závazného právního předpisu, kterým se </w:t>
      </w:r>
      <w:r w:rsidRPr="0006614B">
        <w:rPr>
          <w:rFonts w:ascii="Arial" w:hAnsi="Arial" w:cs="Arial"/>
          <w:color w:val="1C2F67"/>
          <w:sz w:val="18"/>
          <w:szCs w:val="18"/>
        </w:rPr>
        <w:t xml:space="preserve">zásadním způsobem změní podmínky obchodování na trhu s elektřinou v České republice, vstoupí smluvní strany v jednání o změně Smlouvy </w:t>
      </w:r>
      <w:r w:rsidR="009E24F7" w:rsidRPr="0006614B">
        <w:rPr>
          <w:rFonts w:ascii="Arial" w:hAnsi="Arial" w:cs="Arial"/>
          <w:color w:val="1C2F67"/>
          <w:sz w:val="18"/>
          <w:szCs w:val="18"/>
        </w:rPr>
        <w:t xml:space="preserve">a  OPD </w:t>
      </w:r>
      <w:r w:rsidRPr="0006614B">
        <w:rPr>
          <w:rFonts w:ascii="Arial" w:hAnsi="Arial" w:cs="Arial"/>
          <w:color w:val="1C2F67"/>
          <w:sz w:val="18"/>
          <w:szCs w:val="18"/>
        </w:rPr>
        <w:t xml:space="preserve">tak, aby její obsah co nejvíce odpovídal tomu, co bylo ke dni jejího podpisu sjednáno a zároveň byl v souladu s platnými předpisy. Smluvní strany vstoupí v jednání o změně znění Smlouvy i v případě, kdy dojde k zásadní technické změně zařízení </w:t>
      </w:r>
      <w:r w:rsidR="000E697A" w:rsidRPr="0006614B">
        <w:rPr>
          <w:rFonts w:ascii="Arial" w:hAnsi="Arial" w:cs="Arial"/>
          <w:color w:val="1C2F67"/>
          <w:sz w:val="18"/>
          <w:szCs w:val="18"/>
        </w:rPr>
        <w:t>Výrob</w:t>
      </w:r>
      <w:r w:rsidRPr="0006614B">
        <w:rPr>
          <w:rFonts w:ascii="Arial" w:hAnsi="Arial" w:cs="Arial"/>
          <w:color w:val="1C2F67"/>
          <w:sz w:val="18"/>
          <w:szCs w:val="18"/>
        </w:rPr>
        <w:t>ce, která bude mít za následek změnu charakteru výroby elektřiny.</w:t>
      </w:r>
    </w:p>
    <w:p w14:paraId="08891EF6" w14:textId="77777777" w:rsidR="005A6B24" w:rsidRPr="0006614B" w:rsidRDefault="00A6751C" w:rsidP="006F3294">
      <w:pPr>
        <w:pStyle w:val="Odstavecseseznamem"/>
        <w:numPr>
          <w:ilvl w:val="0"/>
          <w:numId w:val="3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Veškeré změny a doplňky Smlouvy jsou možné pouze písemnou formou, tzn. oboustranně potvrzeným vzestupně číslovaným dodatkem k této Smlouvě, podepsaným zástupci Výrobce a PRE k tomu oprávněnými. Každá smluvní strana je povinna oznámit bez zbytečného odkladu případné změny údajů obsažených v</w:t>
      </w:r>
      <w:r w:rsidR="009E24F7" w:rsidRPr="0006614B">
        <w:rPr>
          <w:rFonts w:ascii="Arial" w:hAnsi="Arial" w:cs="Arial"/>
          <w:color w:val="1C2F67"/>
          <w:sz w:val="18"/>
          <w:szCs w:val="18"/>
        </w:rPr>
        <w:t>e</w:t>
      </w:r>
      <w:r w:rsidRPr="0006614B">
        <w:rPr>
          <w:rFonts w:ascii="Arial" w:hAnsi="Arial" w:cs="Arial"/>
          <w:color w:val="1C2F67"/>
          <w:sz w:val="18"/>
          <w:szCs w:val="18"/>
        </w:rPr>
        <w:t xml:space="preserve"> Smlouvě</w:t>
      </w:r>
      <w:r w:rsidR="005A6B24" w:rsidRPr="0006614B">
        <w:rPr>
          <w:rFonts w:ascii="Arial" w:hAnsi="Arial" w:cs="Arial"/>
          <w:color w:val="1C2F67"/>
          <w:sz w:val="18"/>
          <w:szCs w:val="18"/>
        </w:rPr>
        <w:t>.</w:t>
      </w:r>
    </w:p>
    <w:p w14:paraId="0F758814" w14:textId="77777777" w:rsidR="005A6B24" w:rsidRPr="0006614B" w:rsidRDefault="005A6B24" w:rsidP="006F3294">
      <w:pPr>
        <w:pStyle w:val="Odstavecseseznamem"/>
        <w:numPr>
          <w:ilvl w:val="0"/>
          <w:numId w:val="3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Smlouvu lze ukončit:</w:t>
      </w:r>
    </w:p>
    <w:p w14:paraId="28377752" w14:textId="77777777" w:rsidR="005A6B24" w:rsidRPr="0006614B" w:rsidRDefault="00A6751C" w:rsidP="006F3294">
      <w:pPr>
        <w:pStyle w:val="Odstavecseseznamem"/>
        <w:numPr>
          <w:ilvl w:val="0"/>
          <w:numId w:val="32"/>
        </w:numPr>
        <w:ind w:left="568" w:hanging="284"/>
        <w:contextualSpacing w:val="0"/>
        <w:jc w:val="both"/>
        <w:rPr>
          <w:rFonts w:ascii="Arial" w:hAnsi="Arial" w:cs="Arial"/>
          <w:color w:val="1C2F67"/>
          <w:sz w:val="18"/>
          <w:szCs w:val="18"/>
        </w:rPr>
      </w:pPr>
      <w:r w:rsidRPr="0006614B">
        <w:rPr>
          <w:rFonts w:ascii="Arial" w:hAnsi="Arial" w:cs="Arial"/>
          <w:color w:val="1C2F67"/>
          <w:sz w:val="18"/>
          <w:szCs w:val="18"/>
        </w:rPr>
        <w:t xml:space="preserve">Odstoupením od Smlouvy z důvodu prokazatelného hrubého či opakovaného porušení Smlouvy. Odstoupit lze pouze písemně doporučeným dopisem. V případě odstoupení končí </w:t>
      </w:r>
      <w:r w:rsidR="009E24F7" w:rsidRPr="0006614B">
        <w:rPr>
          <w:rFonts w:ascii="Arial" w:hAnsi="Arial" w:cs="Arial"/>
          <w:color w:val="1C2F67"/>
          <w:sz w:val="18"/>
          <w:szCs w:val="18"/>
        </w:rPr>
        <w:t>účinnost</w:t>
      </w:r>
      <w:r w:rsidRPr="0006614B">
        <w:rPr>
          <w:rFonts w:ascii="Arial" w:hAnsi="Arial" w:cs="Arial"/>
          <w:color w:val="1C2F67"/>
          <w:sz w:val="18"/>
          <w:szCs w:val="18"/>
        </w:rPr>
        <w:t xml:space="preserve"> Smlouvy posledním dnem kalendářního měsíce následujícím po kalendářním měsíci, ve kterém bylo doručeno odstoupení</w:t>
      </w:r>
      <w:r w:rsidR="005A6B24" w:rsidRPr="0006614B">
        <w:rPr>
          <w:rFonts w:ascii="Arial" w:hAnsi="Arial" w:cs="Arial"/>
          <w:color w:val="1C2F67"/>
          <w:sz w:val="18"/>
          <w:szCs w:val="18"/>
        </w:rPr>
        <w:t>.</w:t>
      </w:r>
    </w:p>
    <w:p w14:paraId="72E95C74" w14:textId="77777777" w:rsidR="00277727" w:rsidRDefault="00A6751C" w:rsidP="006F3294">
      <w:pPr>
        <w:pStyle w:val="Odstavecseseznamem"/>
        <w:numPr>
          <w:ilvl w:val="0"/>
          <w:numId w:val="32"/>
        </w:numPr>
        <w:ind w:left="568" w:hanging="284"/>
        <w:contextualSpacing w:val="0"/>
        <w:jc w:val="both"/>
        <w:rPr>
          <w:rFonts w:ascii="Arial" w:hAnsi="Arial" w:cs="Arial"/>
          <w:color w:val="1C2F67"/>
          <w:sz w:val="18"/>
          <w:szCs w:val="18"/>
        </w:rPr>
      </w:pPr>
      <w:r w:rsidRPr="0006614B">
        <w:rPr>
          <w:rFonts w:ascii="Arial" w:hAnsi="Arial" w:cs="Arial"/>
          <w:color w:val="1C2F67"/>
          <w:sz w:val="18"/>
          <w:szCs w:val="18"/>
        </w:rPr>
        <w:t>Písemnou výpovědí ke konci kalendářního roku, ve kterém byla výpověď udělena. Výpověď musí být doručena druhé smluvní straně nejpozději k 30.</w:t>
      </w:r>
      <w:r w:rsidR="003268C3">
        <w:rPr>
          <w:rFonts w:ascii="Arial" w:hAnsi="Arial" w:cs="Arial"/>
          <w:color w:val="1C2F67"/>
          <w:sz w:val="18"/>
          <w:szCs w:val="18"/>
        </w:rPr>
        <w:t xml:space="preserve"> </w:t>
      </w:r>
      <w:r w:rsidRPr="0006614B">
        <w:rPr>
          <w:rFonts w:ascii="Arial" w:hAnsi="Arial" w:cs="Arial"/>
          <w:color w:val="1C2F67"/>
          <w:sz w:val="18"/>
          <w:szCs w:val="18"/>
        </w:rPr>
        <w:t>11. kalendářního roku</w:t>
      </w:r>
      <w:r w:rsidR="005A6B24" w:rsidRPr="0006614B">
        <w:rPr>
          <w:rFonts w:ascii="Arial" w:hAnsi="Arial" w:cs="Arial"/>
          <w:color w:val="1C2F67"/>
          <w:sz w:val="18"/>
          <w:szCs w:val="18"/>
        </w:rPr>
        <w:t>.</w:t>
      </w:r>
    </w:p>
    <w:p w14:paraId="7D8CBBE8" w14:textId="77777777" w:rsidR="005A6B24" w:rsidRPr="0006614B" w:rsidRDefault="005A6B24" w:rsidP="003D31C3">
      <w:pPr>
        <w:pStyle w:val="Odstavecseseznamem"/>
        <w:numPr>
          <w:ilvl w:val="0"/>
          <w:numId w:val="31"/>
        </w:numPr>
        <w:ind w:left="284" w:hanging="284"/>
        <w:contextualSpacing w:val="0"/>
        <w:jc w:val="both"/>
        <w:rPr>
          <w:rFonts w:ascii="Arial" w:hAnsi="Arial" w:cs="Arial"/>
          <w:color w:val="1C2F67"/>
          <w:sz w:val="18"/>
          <w:szCs w:val="18"/>
        </w:rPr>
      </w:pPr>
      <w:r w:rsidRPr="0006614B">
        <w:rPr>
          <w:rFonts w:ascii="Arial" w:hAnsi="Arial" w:cs="Arial"/>
          <w:color w:val="1C2F67"/>
          <w:sz w:val="18"/>
          <w:szCs w:val="18"/>
        </w:rPr>
        <w:t>Práva a povinnosti ze Smlouvy přecházejí i na případné právní nástupce obou smluvních stran.</w:t>
      </w:r>
    </w:p>
    <w:p w14:paraId="1B11B788" w14:textId="77777777" w:rsidR="008E2C8E" w:rsidRPr="008E2C8E" w:rsidRDefault="008E2C8E" w:rsidP="008E2C8E">
      <w:pPr>
        <w:ind w:left="284"/>
        <w:jc w:val="both"/>
        <w:rPr>
          <w:rFonts w:ascii="Arial" w:hAnsi="Arial" w:cs="Arial"/>
          <w:b/>
          <w:color w:val="1C2F67"/>
          <w:sz w:val="18"/>
          <w:szCs w:val="18"/>
        </w:rPr>
      </w:pPr>
      <w:r w:rsidRPr="008E2C8E">
        <w:rPr>
          <w:rFonts w:ascii="Arial" w:hAnsi="Arial" w:cs="Arial"/>
          <w:b/>
          <w:color w:val="1C2F67"/>
          <w:sz w:val="18"/>
          <w:szCs w:val="18"/>
        </w:rPr>
        <w:t>Kontaktní osoby na straně PRE:</w:t>
      </w:r>
    </w:p>
    <w:p w14:paraId="11BAA6D0" w14:textId="77777777" w:rsidR="008E2C8E" w:rsidRPr="008E2C8E" w:rsidRDefault="008E2C8E" w:rsidP="008E2C8E">
      <w:pPr>
        <w:ind w:left="284"/>
        <w:jc w:val="both"/>
        <w:rPr>
          <w:rFonts w:ascii="Arial" w:hAnsi="Arial" w:cs="Arial"/>
          <w:b/>
          <w:color w:val="1C2F67"/>
          <w:sz w:val="18"/>
          <w:szCs w:val="18"/>
        </w:rPr>
      </w:pPr>
      <w:r w:rsidRPr="008E2C8E">
        <w:rPr>
          <w:rFonts w:ascii="Arial" w:hAnsi="Arial" w:cs="Arial"/>
          <w:b/>
          <w:color w:val="1C2F67"/>
          <w:sz w:val="18"/>
          <w:szCs w:val="18"/>
        </w:rPr>
        <w:t>pro záležitosti obchodní a smluvní</w:t>
      </w:r>
    </w:p>
    <w:p w14:paraId="409E3B33" w14:textId="77777777" w:rsidR="008E2C8E" w:rsidRPr="008E2C8E" w:rsidRDefault="008E2C8E" w:rsidP="008E2C8E">
      <w:pPr>
        <w:ind w:left="284"/>
        <w:jc w:val="both"/>
        <w:rPr>
          <w:rFonts w:ascii="Arial" w:hAnsi="Arial" w:cs="Arial"/>
          <w:color w:val="1C2F67"/>
          <w:sz w:val="18"/>
          <w:szCs w:val="18"/>
        </w:rPr>
      </w:pPr>
      <w:r w:rsidRPr="008E2C8E">
        <w:rPr>
          <w:rFonts w:ascii="Arial" w:hAnsi="Arial" w:cs="Arial"/>
          <w:color w:val="1C2F67"/>
          <w:sz w:val="18"/>
          <w:szCs w:val="18"/>
        </w:rPr>
        <w:t xml:space="preserve">Ing. Michal Korynta – Front Office </w:t>
      </w:r>
    </w:p>
    <w:p w14:paraId="1151F1DE" w14:textId="2EAE6E5A" w:rsidR="008E2C8E" w:rsidRDefault="008E2C8E" w:rsidP="008E2C8E">
      <w:pPr>
        <w:ind w:left="284"/>
        <w:jc w:val="both"/>
        <w:rPr>
          <w:rFonts w:ascii="Arial" w:hAnsi="Arial" w:cs="Arial"/>
          <w:color w:val="1C2F67"/>
          <w:sz w:val="18"/>
          <w:szCs w:val="18"/>
        </w:rPr>
      </w:pPr>
      <w:r w:rsidRPr="008E2C8E">
        <w:rPr>
          <w:rFonts w:ascii="Arial" w:hAnsi="Arial" w:cs="Arial"/>
          <w:color w:val="1C2F67"/>
          <w:sz w:val="18"/>
          <w:szCs w:val="18"/>
        </w:rPr>
        <w:t>Te</w:t>
      </w:r>
      <w:r>
        <w:rPr>
          <w:rFonts w:ascii="Arial" w:hAnsi="Arial" w:cs="Arial"/>
          <w:color w:val="1C2F67"/>
          <w:sz w:val="18"/>
          <w:szCs w:val="18"/>
        </w:rPr>
        <w:t>l.: 267053698</w:t>
      </w:r>
      <w:r w:rsidRPr="008E2C8E">
        <w:rPr>
          <w:rFonts w:ascii="Arial" w:hAnsi="Arial" w:cs="Arial"/>
          <w:color w:val="1C2F67"/>
          <w:sz w:val="18"/>
          <w:szCs w:val="18"/>
        </w:rPr>
        <w:t xml:space="preserve"> </w:t>
      </w:r>
    </w:p>
    <w:p w14:paraId="0FB87910" w14:textId="77777777" w:rsidR="008E2C8E" w:rsidRPr="008E2C8E" w:rsidRDefault="008E2C8E" w:rsidP="008E2C8E">
      <w:pPr>
        <w:ind w:left="284"/>
        <w:jc w:val="both"/>
        <w:rPr>
          <w:rFonts w:ascii="Arial" w:hAnsi="Arial" w:cs="Arial"/>
          <w:color w:val="1C2F67"/>
          <w:sz w:val="18"/>
          <w:szCs w:val="18"/>
        </w:rPr>
      </w:pPr>
      <w:r w:rsidRPr="008E2C8E">
        <w:rPr>
          <w:rFonts w:ascii="Arial" w:hAnsi="Arial" w:cs="Arial"/>
          <w:color w:val="1C2F67"/>
          <w:sz w:val="18"/>
          <w:szCs w:val="18"/>
        </w:rPr>
        <w:t>e-mail: michal.korynta@pre.cz</w:t>
      </w:r>
    </w:p>
    <w:p w14:paraId="3309231F" w14:textId="77777777" w:rsidR="008E2C8E" w:rsidRPr="008E2C8E" w:rsidRDefault="008E2C8E" w:rsidP="008E2C8E">
      <w:pPr>
        <w:ind w:left="284"/>
        <w:jc w:val="both"/>
        <w:rPr>
          <w:rFonts w:ascii="Arial" w:hAnsi="Arial" w:cs="Arial"/>
          <w:b/>
          <w:color w:val="1C2F67"/>
          <w:sz w:val="18"/>
          <w:szCs w:val="18"/>
        </w:rPr>
      </w:pPr>
      <w:r w:rsidRPr="008E2C8E">
        <w:rPr>
          <w:rFonts w:ascii="Arial" w:hAnsi="Arial" w:cs="Arial"/>
          <w:b/>
          <w:color w:val="1C2F67"/>
          <w:sz w:val="18"/>
          <w:szCs w:val="18"/>
        </w:rPr>
        <w:t>pro záležitosti fakturace</w:t>
      </w:r>
    </w:p>
    <w:p w14:paraId="00951A9B" w14:textId="77777777" w:rsidR="00412F04" w:rsidRPr="008E2C8E" w:rsidRDefault="00412F04" w:rsidP="00412F04">
      <w:pPr>
        <w:ind w:left="284"/>
        <w:jc w:val="both"/>
        <w:rPr>
          <w:rFonts w:ascii="Arial" w:hAnsi="Arial" w:cs="Arial"/>
          <w:color w:val="1C2F67"/>
          <w:sz w:val="18"/>
          <w:szCs w:val="18"/>
        </w:rPr>
      </w:pPr>
      <w:r w:rsidRPr="008E2C8E">
        <w:rPr>
          <w:rFonts w:ascii="Arial" w:hAnsi="Arial" w:cs="Arial"/>
          <w:color w:val="1C2F67"/>
          <w:sz w:val="18"/>
          <w:szCs w:val="18"/>
        </w:rPr>
        <w:t xml:space="preserve">e-mail: settlement@pre.cz </w:t>
      </w:r>
    </w:p>
    <w:p w14:paraId="732A6494" w14:textId="77777777" w:rsidR="008E2C8E" w:rsidRPr="008E2C8E" w:rsidRDefault="008E2C8E" w:rsidP="008E2C8E">
      <w:pPr>
        <w:ind w:left="284"/>
        <w:jc w:val="both"/>
        <w:rPr>
          <w:rFonts w:ascii="Arial" w:hAnsi="Arial" w:cs="Arial"/>
          <w:color w:val="1C2F67"/>
          <w:sz w:val="18"/>
          <w:szCs w:val="18"/>
        </w:rPr>
      </w:pPr>
      <w:r w:rsidRPr="008E2C8E">
        <w:rPr>
          <w:rFonts w:ascii="Arial" w:hAnsi="Arial" w:cs="Arial"/>
          <w:color w:val="1C2F67"/>
          <w:sz w:val="18"/>
          <w:szCs w:val="18"/>
        </w:rPr>
        <w:t>Ing. Jiří Vízek – Back Office</w:t>
      </w:r>
    </w:p>
    <w:p w14:paraId="3C616B6B" w14:textId="77777777" w:rsidR="008E2C8E" w:rsidRDefault="008E2C8E" w:rsidP="008E2C8E">
      <w:pPr>
        <w:ind w:left="284"/>
        <w:jc w:val="both"/>
        <w:rPr>
          <w:rFonts w:ascii="Arial" w:hAnsi="Arial" w:cs="Arial"/>
          <w:color w:val="1C2F67"/>
          <w:sz w:val="18"/>
          <w:szCs w:val="18"/>
        </w:rPr>
      </w:pPr>
      <w:r w:rsidRPr="008E2C8E">
        <w:rPr>
          <w:rFonts w:ascii="Arial" w:hAnsi="Arial" w:cs="Arial"/>
          <w:color w:val="1C2F67"/>
          <w:sz w:val="18"/>
          <w:szCs w:val="18"/>
        </w:rPr>
        <w:t>Tel.: 26705</w:t>
      </w:r>
      <w:r>
        <w:rPr>
          <w:rFonts w:ascii="Arial" w:hAnsi="Arial" w:cs="Arial"/>
          <w:color w:val="1C2F67"/>
          <w:sz w:val="18"/>
          <w:szCs w:val="18"/>
        </w:rPr>
        <w:t>3538</w:t>
      </w:r>
      <w:r w:rsidRPr="008E2C8E">
        <w:rPr>
          <w:rFonts w:ascii="Arial" w:hAnsi="Arial" w:cs="Arial"/>
          <w:color w:val="1C2F67"/>
          <w:sz w:val="18"/>
          <w:szCs w:val="18"/>
        </w:rPr>
        <w:t xml:space="preserve"> </w:t>
      </w:r>
    </w:p>
    <w:p w14:paraId="376EBF52" w14:textId="0D4BB003" w:rsidR="00A94E87" w:rsidRDefault="008E2C8E" w:rsidP="008E2C8E">
      <w:pPr>
        <w:ind w:left="284"/>
        <w:jc w:val="both"/>
        <w:rPr>
          <w:rFonts w:ascii="Arial" w:hAnsi="Arial" w:cs="Arial"/>
          <w:color w:val="1C2F67"/>
          <w:sz w:val="18"/>
          <w:szCs w:val="18"/>
        </w:rPr>
      </w:pPr>
      <w:r w:rsidRPr="008E2C8E">
        <w:rPr>
          <w:rFonts w:ascii="Arial" w:hAnsi="Arial" w:cs="Arial"/>
          <w:color w:val="1C2F67"/>
          <w:sz w:val="18"/>
          <w:szCs w:val="18"/>
        </w:rPr>
        <w:t>Ing. Ivana Žežulová – Back Office</w:t>
      </w:r>
      <w:r w:rsidR="007C33FB">
        <w:rPr>
          <w:rFonts w:ascii="Arial" w:hAnsi="Arial" w:cs="Arial"/>
          <w:color w:val="1C2F67"/>
          <w:sz w:val="18"/>
          <w:szCs w:val="18"/>
        </w:rPr>
        <w:t xml:space="preserve"> </w:t>
      </w:r>
    </w:p>
    <w:p w14:paraId="644FDB96" w14:textId="7A1E8998" w:rsidR="007C33FB" w:rsidRPr="00C53483" w:rsidRDefault="00F74978" w:rsidP="00FD365D">
      <w:pPr>
        <w:ind w:left="284"/>
        <w:jc w:val="both"/>
        <w:rPr>
          <w:rFonts w:ascii="Arial" w:hAnsi="Arial" w:cs="Arial"/>
          <w:color w:val="1C2F67"/>
          <w:sz w:val="18"/>
          <w:szCs w:val="18"/>
        </w:rPr>
        <w:sectPr w:rsidR="007C33FB" w:rsidRPr="00C53483" w:rsidSect="00A2699B">
          <w:type w:val="continuous"/>
          <w:pgSz w:w="11906" w:h="16838"/>
          <w:pgMar w:top="1417" w:right="707" w:bottom="1417" w:left="709" w:header="708" w:footer="708" w:gutter="0"/>
          <w:cols w:num="3" w:space="282"/>
          <w:docGrid w:linePitch="360"/>
        </w:sectPr>
      </w:pPr>
      <w:r w:rsidRPr="0006614B">
        <w:rPr>
          <w:rFonts w:ascii="Arial" w:hAnsi="Arial" w:cs="Arial"/>
          <w:noProof/>
          <w:color w:val="1C2F67"/>
          <w:sz w:val="18"/>
          <w:szCs w:val="18"/>
        </w:rPr>
        <w:drawing>
          <wp:anchor distT="0" distB="0" distL="114300" distR="114300" simplePos="0" relativeHeight="251662336" behindDoc="1" locked="0" layoutInCell="1" allowOverlap="1" wp14:anchorId="7BB7F592" wp14:editId="66ACB5AE">
            <wp:simplePos x="0" y="0"/>
            <wp:positionH relativeFrom="page">
              <wp:posOffset>4362450</wp:posOffset>
            </wp:positionH>
            <wp:positionV relativeFrom="page">
              <wp:posOffset>9737725</wp:posOffset>
            </wp:positionV>
            <wp:extent cx="2895600" cy="1024991"/>
            <wp:effectExtent l="0" t="0" r="0" b="3810"/>
            <wp:wrapTight wrapText="bothSides">
              <wp:wrapPolygon edited="0">
                <wp:start x="0" y="0"/>
                <wp:lineTo x="0" y="21279"/>
                <wp:lineTo x="21458" y="21279"/>
                <wp:lineTo x="2145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24991"/>
                    </a:xfrm>
                    <a:prstGeom prst="rect">
                      <a:avLst/>
                    </a:prstGeom>
                    <a:noFill/>
                    <a:ln>
                      <a:noFill/>
                    </a:ln>
                  </pic:spPr>
                </pic:pic>
              </a:graphicData>
            </a:graphic>
            <wp14:sizeRelH relativeFrom="page">
              <wp14:pctWidth>0</wp14:pctWidth>
            </wp14:sizeRelH>
            <wp14:sizeRelV relativeFrom="page">
              <wp14:pctHeight>0</wp14:pctHeight>
            </wp14:sizeRelV>
          </wp:anchor>
        </w:drawing>
      </w:r>
      <w:r w:rsidR="008E2C8E" w:rsidRPr="008E2C8E">
        <w:rPr>
          <w:rFonts w:ascii="Arial" w:hAnsi="Arial" w:cs="Arial"/>
          <w:color w:val="1C2F67"/>
          <w:sz w:val="18"/>
          <w:szCs w:val="18"/>
        </w:rPr>
        <w:t>Tel.: 2670533</w:t>
      </w:r>
      <w:r w:rsidR="00FD365D">
        <w:rPr>
          <w:rFonts w:ascii="Arial" w:hAnsi="Arial" w:cs="Arial"/>
          <w:color w:val="1C2F67"/>
          <w:sz w:val="18"/>
          <w:szCs w:val="18"/>
        </w:rPr>
        <w:t>85</w:t>
      </w:r>
    </w:p>
    <w:p w14:paraId="66A7EB93" w14:textId="574B466B" w:rsidR="00C53483" w:rsidRPr="0006614B" w:rsidRDefault="00C53483" w:rsidP="00F74978">
      <w:pPr>
        <w:rPr>
          <w:rFonts w:ascii="Arial" w:hAnsi="Arial" w:cs="Arial"/>
          <w:color w:val="1C2F67"/>
        </w:rPr>
      </w:pPr>
    </w:p>
    <w:sectPr w:rsidR="00C53483" w:rsidRPr="0006614B" w:rsidSect="00A2699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BB"/>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F297D"/>
    <w:multiLevelType w:val="hybridMultilevel"/>
    <w:tmpl w:val="7AE65C12"/>
    <w:lvl w:ilvl="0" w:tplc="7390C7C2">
      <w:start w:val="1"/>
      <w:numFmt w:val="decimal"/>
      <w:lvlText w:val="%1."/>
      <w:legacy w:legacy="1" w:legacySpace="0" w:legacyIndent="360"/>
      <w:lvlJc w:val="left"/>
      <w:pPr>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2C147E"/>
    <w:multiLevelType w:val="singleLevel"/>
    <w:tmpl w:val="55261FE2"/>
    <w:lvl w:ilvl="0">
      <w:start w:val="1"/>
      <w:numFmt w:val="lowerLetter"/>
      <w:lvlText w:val="%1)"/>
      <w:lvlJc w:val="left"/>
      <w:pPr>
        <w:tabs>
          <w:tab w:val="num" w:pos="360"/>
        </w:tabs>
        <w:ind w:left="360" w:hanging="360"/>
      </w:pPr>
    </w:lvl>
  </w:abstractNum>
  <w:abstractNum w:abstractNumId="3" w15:restartNumberingAfterBreak="0">
    <w:nsid w:val="181A4D9D"/>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7D1FB3"/>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C7EB0"/>
    <w:multiLevelType w:val="multilevel"/>
    <w:tmpl w:val="E75C77D0"/>
    <w:lvl w:ilvl="0">
      <w:start w:val="1"/>
      <w:numFmt w:val="upperRoman"/>
      <w:pStyle w:val="Nadpis1"/>
      <w:lvlText w:val="%1."/>
      <w:lvlJc w:val="right"/>
      <w:pPr>
        <w:ind w:left="2835" w:firstLine="0"/>
      </w:pPr>
    </w:lvl>
    <w:lvl w:ilvl="1">
      <w:start w:val="1"/>
      <w:numFmt w:val="decimalZero"/>
      <w:pStyle w:val="Nadpis2"/>
      <w:isLgl/>
      <w:lvlText w:val="Oddíl %1.%2"/>
      <w:lvlJc w:val="left"/>
      <w:pPr>
        <w:ind w:left="2552" w:firstLine="0"/>
      </w:pPr>
    </w:lvl>
    <w:lvl w:ilvl="2">
      <w:start w:val="1"/>
      <w:numFmt w:val="lowerLetter"/>
      <w:pStyle w:val="Nadpis3"/>
      <w:lvlText w:val="(%3)"/>
      <w:lvlJc w:val="left"/>
      <w:pPr>
        <w:ind w:left="3272" w:hanging="432"/>
      </w:pPr>
    </w:lvl>
    <w:lvl w:ilvl="3">
      <w:start w:val="1"/>
      <w:numFmt w:val="lowerRoman"/>
      <w:pStyle w:val="Nadpis4"/>
      <w:lvlText w:val="(%4)"/>
      <w:lvlJc w:val="right"/>
      <w:pPr>
        <w:ind w:left="3416" w:hanging="144"/>
      </w:pPr>
    </w:lvl>
    <w:lvl w:ilvl="4">
      <w:start w:val="1"/>
      <w:numFmt w:val="decimal"/>
      <w:pStyle w:val="Nadpis5"/>
      <w:lvlText w:val="%5)"/>
      <w:lvlJc w:val="left"/>
      <w:pPr>
        <w:ind w:left="3560" w:hanging="432"/>
      </w:pPr>
    </w:lvl>
    <w:lvl w:ilvl="5">
      <w:start w:val="1"/>
      <w:numFmt w:val="lowerLetter"/>
      <w:pStyle w:val="Nadpis6"/>
      <w:lvlText w:val="%6)"/>
      <w:lvlJc w:val="left"/>
      <w:pPr>
        <w:ind w:left="3704" w:hanging="432"/>
      </w:pPr>
    </w:lvl>
    <w:lvl w:ilvl="6">
      <w:start w:val="1"/>
      <w:numFmt w:val="lowerRoman"/>
      <w:pStyle w:val="Nadpis7"/>
      <w:lvlText w:val="%7)"/>
      <w:lvlJc w:val="right"/>
      <w:pPr>
        <w:ind w:left="3848" w:hanging="288"/>
      </w:pPr>
    </w:lvl>
    <w:lvl w:ilvl="7">
      <w:start w:val="1"/>
      <w:numFmt w:val="lowerLetter"/>
      <w:pStyle w:val="Nadpis8"/>
      <w:lvlText w:val="%8."/>
      <w:lvlJc w:val="left"/>
      <w:pPr>
        <w:ind w:left="3992" w:hanging="432"/>
      </w:pPr>
    </w:lvl>
    <w:lvl w:ilvl="8">
      <w:start w:val="1"/>
      <w:numFmt w:val="lowerRoman"/>
      <w:pStyle w:val="Nadpis9"/>
      <w:lvlText w:val="%9."/>
      <w:lvlJc w:val="right"/>
      <w:pPr>
        <w:ind w:left="4136" w:hanging="144"/>
      </w:pPr>
    </w:lvl>
  </w:abstractNum>
  <w:abstractNum w:abstractNumId="6" w15:restartNumberingAfterBreak="0">
    <w:nsid w:val="255D1D50"/>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EB6F78"/>
    <w:multiLevelType w:val="hybridMultilevel"/>
    <w:tmpl w:val="7FA68C82"/>
    <w:lvl w:ilvl="0" w:tplc="BA469732">
      <w:start w:val="1"/>
      <w:numFmt w:val="decimal"/>
      <w:lvlText w:val="%1."/>
      <w:legacy w:legacy="1" w:legacySpace="0" w:legacyIndent="283"/>
      <w:lvlJc w:val="left"/>
      <w:pPr>
        <w:ind w:left="283" w:hanging="283"/>
      </w:pPr>
      <w:rPr>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63EBF"/>
    <w:multiLevelType w:val="hybridMultilevel"/>
    <w:tmpl w:val="E72C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3D16A9"/>
    <w:multiLevelType w:val="hybridMultilevel"/>
    <w:tmpl w:val="188E8888"/>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0" w15:restartNumberingAfterBreak="0">
    <w:nsid w:val="2D2528A2"/>
    <w:multiLevelType w:val="hybridMultilevel"/>
    <w:tmpl w:val="367238E6"/>
    <w:lvl w:ilvl="0" w:tplc="1A245E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721996"/>
    <w:multiLevelType w:val="hybridMultilevel"/>
    <w:tmpl w:val="357E95DE"/>
    <w:lvl w:ilvl="0" w:tplc="D90A08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E576FF"/>
    <w:multiLevelType w:val="hybridMultilevel"/>
    <w:tmpl w:val="1DC2E7C2"/>
    <w:lvl w:ilvl="0" w:tplc="B51C6A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6704D"/>
    <w:multiLevelType w:val="hybridMultilevel"/>
    <w:tmpl w:val="CC28CE94"/>
    <w:lvl w:ilvl="0" w:tplc="0405000F">
      <w:start w:val="1"/>
      <w:numFmt w:val="decimal"/>
      <w:lvlText w:val="%1."/>
      <w:lvlJc w:val="left"/>
      <w:pPr>
        <w:ind w:left="283" w:hanging="283"/>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2323FD"/>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402B6A"/>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924ECE"/>
    <w:multiLevelType w:val="hybridMultilevel"/>
    <w:tmpl w:val="F0F45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5A49B8"/>
    <w:multiLevelType w:val="hybridMultilevel"/>
    <w:tmpl w:val="C546BFEE"/>
    <w:lvl w:ilvl="0" w:tplc="52808F6A">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3AB0B09"/>
    <w:multiLevelType w:val="hybridMultilevel"/>
    <w:tmpl w:val="03645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677CC"/>
    <w:multiLevelType w:val="hybridMultilevel"/>
    <w:tmpl w:val="682CD93C"/>
    <w:lvl w:ilvl="0" w:tplc="87A2BE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241A3A"/>
    <w:multiLevelType w:val="hybridMultilevel"/>
    <w:tmpl w:val="549442A6"/>
    <w:lvl w:ilvl="0" w:tplc="822C3A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1369CF"/>
    <w:multiLevelType w:val="hybridMultilevel"/>
    <w:tmpl w:val="FDBA68FA"/>
    <w:lvl w:ilvl="0" w:tplc="0CC648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BF2BDD"/>
    <w:multiLevelType w:val="hybridMultilevel"/>
    <w:tmpl w:val="F17E2A1E"/>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6511CF"/>
    <w:multiLevelType w:val="hybridMultilevel"/>
    <w:tmpl w:val="E312C7B6"/>
    <w:lvl w:ilvl="0" w:tplc="3D7C0E86">
      <w:start w:val="1"/>
      <w:numFmt w:val="decimal"/>
      <w:lvlText w:val="%1."/>
      <w:legacy w:legacy="1" w:legacySpace="0" w:legacyIndent="283"/>
      <w:lvlJc w:val="left"/>
      <w:pPr>
        <w:ind w:left="283" w:hanging="283"/>
      </w:pPr>
      <w:rPr>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9A46077"/>
    <w:multiLevelType w:val="singleLevel"/>
    <w:tmpl w:val="55261FE2"/>
    <w:lvl w:ilvl="0">
      <w:start w:val="1"/>
      <w:numFmt w:val="lowerLetter"/>
      <w:lvlText w:val="%1)"/>
      <w:lvlJc w:val="left"/>
      <w:pPr>
        <w:tabs>
          <w:tab w:val="num" w:pos="360"/>
        </w:tabs>
        <w:ind w:left="360" w:hanging="360"/>
      </w:pPr>
    </w:lvl>
  </w:abstractNum>
  <w:num w:numId="1" w16cid:durableId="901646632">
    <w:abstractNumId w:val="15"/>
  </w:num>
  <w:num w:numId="2" w16cid:durableId="1182548287">
    <w:abstractNumId w:val="16"/>
  </w:num>
  <w:num w:numId="3" w16cid:durableId="71707120">
    <w:abstractNumId w:val="21"/>
  </w:num>
  <w:num w:numId="4" w16cid:durableId="720134008">
    <w:abstractNumId w:val="5"/>
  </w:num>
  <w:num w:numId="5" w16cid:durableId="974793512">
    <w:abstractNumId w:val="12"/>
  </w:num>
  <w:num w:numId="6" w16cid:durableId="323974967">
    <w:abstractNumId w:val="8"/>
  </w:num>
  <w:num w:numId="7" w16cid:durableId="773011797">
    <w:abstractNumId w:val="17"/>
  </w:num>
  <w:num w:numId="8" w16cid:durableId="299187026">
    <w:abstractNumId w:val="13"/>
  </w:num>
  <w:num w:numId="9" w16cid:durableId="136071071">
    <w:abstractNumId w:val="1"/>
  </w:num>
  <w:num w:numId="10" w16cid:durableId="533882843">
    <w:abstractNumId w:val="10"/>
  </w:num>
  <w:num w:numId="11" w16cid:durableId="1710450682">
    <w:abstractNumId w:val="11"/>
  </w:num>
  <w:num w:numId="12" w16cid:durableId="675502875">
    <w:abstractNumId w:val="9"/>
  </w:num>
  <w:num w:numId="13" w16cid:durableId="1515337570">
    <w:abstractNumId w:val="18"/>
  </w:num>
  <w:num w:numId="14" w16cid:durableId="841823722">
    <w:abstractNumId w:val="7"/>
  </w:num>
  <w:num w:numId="15" w16cid:durableId="254754634">
    <w:abstractNumId w:val="23"/>
  </w:num>
  <w:num w:numId="16" w16cid:durableId="772821248">
    <w:abstractNumId w:val="24"/>
  </w:num>
  <w:num w:numId="17" w16cid:durableId="395786828">
    <w:abstractNumId w:val="2"/>
  </w:num>
  <w:num w:numId="18" w16cid:durableId="237859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367320">
    <w:abstractNumId w:val="5"/>
  </w:num>
  <w:num w:numId="20" w16cid:durableId="138958155">
    <w:abstractNumId w:val="19"/>
  </w:num>
  <w:num w:numId="21" w16cid:durableId="426853581">
    <w:abstractNumId w:val="5"/>
  </w:num>
  <w:num w:numId="22" w16cid:durableId="1971084159">
    <w:abstractNumId w:val="6"/>
  </w:num>
  <w:num w:numId="23" w16cid:durableId="2053573263">
    <w:abstractNumId w:val="5"/>
  </w:num>
  <w:num w:numId="24" w16cid:durableId="744957117">
    <w:abstractNumId w:val="5"/>
  </w:num>
  <w:num w:numId="25" w16cid:durableId="139425643">
    <w:abstractNumId w:val="4"/>
  </w:num>
  <w:num w:numId="26" w16cid:durableId="1556087872">
    <w:abstractNumId w:val="5"/>
  </w:num>
  <w:num w:numId="27" w16cid:durableId="516889234">
    <w:abstractNumId w:val="0"/>
  </w:num>
  <w:num w:numId="28" w16cid:durableId="1147627312">
    <w:abstractNumId w:val="5"/>
  </w:num>
  <w:num w:numId="29" w16cid:durableId="419326912">
    <w:abstractNumId w:val="3"/>
  </w:num>
  <w:num w:numId="30" w16cid:durableId="1046416340">
    <w:abstractNumId w:val="5"/>
  </w:num>
  <w:num w:numId="31" w16cid:durableId="1410494525">
    <w:abstractNumId w:val="14"/>
  </w:num>
  <w:num w:numId="32" w16cid:durableId="2082556810">
    <w:abstractNumId w:val="22"/>
  </w:num>
  <w:num w:numId="33" w16cid:durableId="1080522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oywRo9727CMnU3QocVD6v3m3WPoMm2i0riTcIqbbDVou70NLE3GnNAjAt99SxJk7azXkICbzpVQ8BosrVa+4A==" w:salt="ndfxXWZRaQ2Vy0En+VBQ/g=="/>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E1"/>
    <w:rsid w:val="000234FA"/>
    <w:rsid w:val="0006614B"/>
    <w:rsid w:val="00066C7C"/>
    <w:rsid w:val="000706AE"/>
    <w:rsid w:val="000770B1"/>
    <w:rsid w:val="00077B19"/>
    <w:rsid w:val="000B2B9D"/>
    <w:rsid w:val="000C19C9"/>
    <w:rsid w:val="000C31F4"/>
    <w:rsid w:val="000E697A"/>
    <w:rsid w:val="001135FF"/>
    <w:rsid w:val="00113863"/>
    <w:rsid w:val="00135B04"/>
    <w:rsid w:val="001504FE"/>
    <w:rsid w:val="0017232A"/>
    <w:rsid w:val="0017793E"/>
    <w:rsid w:val="00185545"/>
    <w:rsid w:val="001A1359"/>
    <w:rsid w:val="001B72F1"/>
    <w:rsid w:val="001E4186"/>
    <w:rsid w:val="00215419"/>
    <w:rsid w:val="0024116B"/>
    <w:rsid w:val="002465A3"/>
    <w:rsid w:val="00247F64"/>
    <w:rsid w:val="00256F97"/>
    <w:rsid w:val="002610DF"/>
    <w:rsid w:val="00263484"/>
    <w:rsid w:val="00277727"/>
    <w:rsid w:val="00292C19"/>
    <w:rsid w:val="00295488"/>
    <w:rsid w:val="002955C2"/>
    <w:rsid w:val="002B5041"/>
    <w:rsid w:val="002E10E5"/>
    <w:rsid w:val="002F1209"/>
    <w:rsid w:val="002F5F5F"/>
    <w:rsid w:val="003268C3"/>
    <w:rsid w:val="00333441"/>
    <w:rsid w:val="00343394"/>
    <w:rsid w:val="00346C20"/>
    <w:rsid w:val="00354C27"/>
    <w:rsid w:val="00393CE2"/>
    <w:rsid w:val="003B0156"/>
    <w:rsid w:val="003C3889"/>
    <w:rsid w:val="003D31C3"/>
    <w:rsid w:val="003E453B"/>
    <w:rsid w:val="003E6403"/>
    <w:rsid w:val="00412F04"/>
    <w:rsid w:val="00417236"/>
    <w:rsid w:val="00460D21"/>
    <w:rsid w:val="00474B12"/>
    <w:rsid w:val="004939F9"/>
    <w:rsid w:val="004A280A"/>
    <w:rsid w:val="004B306E"/>
    <w:rsid w:val="004F005C"/>
    <w:rsid w:val="004F36FB"/>
    <w:rsid w:val="005A6B24"/>
    <w:rsid w:val="005E46CB"/>
    <w:rsid w:val="0061643D"/>
    <w:rsid w:val="00627B4F"/>
    <w:rsid w:val="00662DED"/>
    <w:rsid w:val="00665247"/>
    <w:rsid w:val="00695D6E"/>
    <w:rsid w:val="006A0C2F"/>
    <w:rsid w:val="006A2878"/>
    <w:rsid w:val="006B5BA5"/>
    <w:rsid w:val="006E0C5F"/>
    <w:rsid w:val="006F1881"/>
    <w:rsid w:val="006F3294"/>
    <w:rsid w:val="00705E77"/>
    <w:rsid w:val="007124B6"/>
    <w:rsid w:val="00713619"/>
    <w:rsid w:val="0072347F"/>
    <w:rsid w:val="00733D72"/>
    <w:rsid w:val="007641A1"/>
    <w:rsid w:val="00781641"/>
    <w:rsid w:val="007B7AD3"/>
    <w:rsid w:val="007C33FB"/>
    <w:rsid w:val="007D456A"/>
    <w:rsid w:val="007E0EE8"/>
    <w:rsid w:val="00825EE5"/>
    <w:rsid w:val="008275E5"/>
    <w:rsid w:val="00831D86"/>
    <w:rsid w:val="008327F3"/>
    <w:rsid w:val="008504CD"/>
    <w:rsid w:val="00881CA6"/>
    <w:rsid w:val="00884E00"/>
    <w:rsid w:val="008A49E7"/>
    <w:rsid w:val="008D2624"/>
    <w:rsid w:val="008E2C8E"/>
    <w:rsid w:val="008F534C"/>
    <w:rsid w:val="009167A9"/>
    <w:rsid w:val="009210A0"/>
    <w:rsid w:val="0094697D"/>
    <w:rsid w:val="00961EA9"/>
    <w:rsid w:val="009711CA"/>
    <w:rsid w:val="009937C0"/>
    <w:rsid w:val="009A2862"/>
    <w:rsid w:val="009C01D0"/>
    <w:rsid w:val="009D41B4"/>
    <w:rsid w:val="009E24F7"/>
    <w:rsid w:val="009F3E25"/>
    <w:rsid w:val="009F72FC"/>
    <w:rsid w:val="00A04A0F"/>
    <w:rsid w:val="00A12DAE"/>
    <w:rsid w:val="00A2395B"/>
    <w:rsid w:val="00A2699B"/>
    <w:rsid w:val="00A320D0"/>
    <w:rsid w:val="00A45533"/>
    <w:rsid w:val="00A47017"/>
    <w:rsid w:val="00A6751C"/>
    <w:rsid w:val="00A701A5"/>
    <w:rsid w:val="00A76494"/>
    <w:rsid w:val="00A84F70"/>
    <w:rsid w:val="00A92C88"/>
    <w:rsid w:val="00A93CA8"/>
    <w:rsid w:val="00A94E87"/>
    <w:rsid w:val="00AD6650"/>
    <w:rsid w:val="00AF28B5"/>
    <w:rsid w:val="00B06272"/>
    <w:rsid w:val="00B0707F"/>
    <w:rsid w:val="00B34450"/>
    <w:rsid w:val="00B35125"/>
    <w:rsid w:val="00B53BC6"/>
    <w:rsid w:val="00B54356"/>
    <w:rsid w:val="00B674E1"/>
    <w:rsid w:val="00B9759D"/>
    <w:rsid w:val="00BC0569"/>
    <w:rsid w:val="00BD1E0D"/>
    <w:rsid w:val="00BE0AB0"/>
    <w:rsid w:val="00BE793A"/>
    <w:rsid w:val="00BF6FE8"/>
    <w:rsid w:val="00C53483"/>
    <w:rsid w:val="00C62686"/>
    <w:rsid w:val="00C81FBA"/>
    <w:rsid w:val="00C83484"/>
    <w:rsid w:val="00C865B2"/>
    <w:rsid w:val="00CB1C3B"/>
    <w:rsid w:val="00CC409B"/>
    <w:rsid w:val="00CD2D71"/>
    <w:rsid w:val="00D17ADC"/>
    <w:rsid w:val="00D3777D"/>
    <w:rsid w:val="00D41CCB"/>
    <w:rsid w:val="00D42D83"/>
    <w:rsid w:val="00D65B68"/>
    <w:rsid w:val="00D72515"/>
    <w:rsid w:val="00DE1FCD"/>
    <w:rsid w:val="00DF692E"/>
    <w:rsid w:val="00E33447"/>
    <w:rsid w:val="00E860E4"/>
    <w:rsid w:val="00E9261A"/>
    <w:rsid w:val="00E9773B"/>
    <w:rsid w:val="00EB6CC4"/>
    <w:rsid w:val="00EC5742"/>
    <w:rsid w:val="00ED0EA9"/>
    <w:rsid w:val="00EE220A"/>
    <w:rsid w:val="00EE3BD2"/>
    <w:rsid w:val="00EE3D42"/>
    <w:rsid w:val="00EE56AC"/>
    <w:rsid w:val="00EF0B9F"/>
    <w:rsid w:val="00F249C1"/>
    <w:rsid w:val="00F34983"/>
    <w:rsid w:val="00F40E10"/>
    <w:rsid w:val="00F74978"/>
    <w:rsid w:val="00F93288"/>
    <w:rsid w:val="00F974BE"/>
    <w:rsid w:val="00FD103D"/>
    <w:rsid w:val="00FD365D"/>
    <w:rsid w:val="00FE119A"/>
    <w:rsid w:val="00FE4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5EA72"/>
  <w15:docId w15:val="{E82821DB-FD9F-40DA-965F-C873C62E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1E0D"/>
    <w:rPr>
      <w:sz w:val="24"/>
      <w:szCs w:val="24"/>
    </w:rPr>
  </w:style>
  <w:style w:type="paragraph" w:styleId="Nadpis1">
    <w:name w:val="heading 1"/>
    <w:basedOn w:val="Normln"/>
    <w:next w:val="Normln"/>
    <w:link w:val="Nadpis1Char"/>
    <w:uiPriority w:val="9"/>
    <w:qFormat/>
    <w:rsid w:val="00A84F70"/>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A84F70"/>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84F70"/>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84F7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84F7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84F7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84F7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4F7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84F7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D1E0D"/>
    <w:pPr>
      <w:ind w:left="720"/>
      <w:contextualSpacing/>
    </w:pPr>
  </w:style>
  <w:style w:type="character" w:customStyle="1" w:styleId="Nadpis1Char">
    <w:name w:val="Nadpis 1 Char"/>
    <w:basedOn w:val="Standardnpsmoodstavce"/>
    <w:link w:val="Nadpis1"/>
    <w:uiPriority w:val="9"/>
    <w:rsid w:val="00A84F7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A84F7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A84F70"/>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sid w:val="00A84F70"/>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A84F70"/>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A84F70"/>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A84F70"/>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A84F70"/>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84F70"/>
    <w:rPr>
      <w:rFonts w:asciiTheme="majorHAnsi" w:eastAsiaTheme="majorEastAsia" w:hAnsiTheme="majorHAnsi" w:cstheme="majorBidi"/>
      <w:i/>
      <w:iCs/>
      <w:color w:val="404040" w:themeColor="text1" w:themeTint="BF"/>
    </w:rPr>
  </w:style>
  <w:style w:type="character" w:styleId="Hypertextovodkaz">
    <w:name w:val="Hyperlink"/>
    <w:rsid w:val="00A2395B"/>
    <w:rPr>
      <w:color w:val="0000FF"/>
      <w:u w:val="single"/>
    </w:rPr>
  </w:style>
  <w:style w:type="character" w:styleId="Odkaznakoment">
    <w:name w:val="annotation reference"/>
    <w:basedOn w:val="Standardnpsmoodstavce"/>
    <w:uiPriority w:val="99"/>
    <w:semiHidden/>
    <w:unhideWhenUsed/>
    <w:rsid w:val="009C01D0"/>
    <w:rPr>
      <w:sz w:val="16"/>
      <w:szCs w:val="16"/>
    </w:rPr>
  </w:style>
  <w:style w:type="paragraph" w:styleId="Textkomente">
    <w:name w:val="annotation text"/>
    <w:basedOn w:val="Normln"/>
    <w:link w:val="TextkomenteChar"/>
    <w:uiPriority w:val="99"/>
    <w:semiHidden/>
    <w:unhideWhenUsed/>
    <w:rsid w:val="009C01D0"/>
    <w:rPr>
      <w:sz w:val="20"/>
      <w:szCs w:val="20"/>
    </w:rPr>
  </w:style>
  <w:style w:type="character" w:customStyle="1" w:styleId="TextkomenteChar">
    <w:name w:val="Text komentáře Char"/>
    <w:basedOn w:val="Standardnpsmoodstavce"/>
    <w:link w:val="Textkomente"/>
    <w:uiPriority w:val="99"/>
    <w:semiHidden/>
    <w:rsid w:val="009C01D0"/>
  </w:style>
  <w:style w:type="paragraph" w:styleId="Pedmtkomente">
    <w:name w:val="annotation subject"/>
    <w:basedOn w:val="Textkomente"/>
    <w:next w:val="Textkomente"/>
    <w:link w:val="PedmtkomenteChar"/>
    <w:uiPriority w:val="99"/>
    <w:semiHidden/>
    <w:unhideWhenUsed/>
    <w:rsid w:val="009C01D0"/>
    <w:rPr>
      <w:b/>
      <w:bCs/>
    </w:rPr>
  </w:style>
  <w:style w:type="character" w:customStyle="1" w:styleId="PedmtkomenteChar">
    <w:name w:val="Předmět komentáře Char"/>
    <w:basedOn w:val="TextkomenteChar"/>
    <w:link w:val="Pedmtkomente"/>
    <w:uiPriority w:val="99"/>
    <w:semiHidden/>
    <w:rsid w:val="009C01D0"/>
    <w:rPr>
      <w:b/>
      <w:bCs/>
    </w:rPr>
  </w:style>
  <w:style w:type="paragraph" w:styleId="Textbubliny">
    <w:name w:val="Balloon Text"/>
    <w:basedOn w:val="Normln"/>
    <w:link w:val="TextbublinyChar"/>
    <w:uiPriority w:val="99"/>
    <w:semiHidden/>
    <w:unhideWhenUsed/>
    <w:rsid w:val="009C01D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58402">
      <w:bodyDiv w:val="1"/>
      <w:marLeft w:val="0"/>
      <w:marRight w:val="0"/>
      <w:marTop w:val="0"/>
      <w:marBottom w:val="0"/>
      <w:divBdr>
        <w:top w:val="none" w:sz="0" w:space="0" w:color="auto"/>
        <w:left w:val="none" w:sz="0" w:space="0" w:color="auto"/>
        <w:bottom w:val="none" w:sz="0" w:space="0" w:color="auto"/>
        <w:right w:val="none" w:sz="0" w:space="0" w:color="auto"/>
      </w:divBdr>
    </w:div>
    <w:div w:id="4424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2770-39E4-4967-B5FB-8FB429F8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9524</Characters>
  <Application>Microsoft Office Word</Application>
  <DocSecurity>8</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PRE, a.s.</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Korynta Michal, Ing.</dc:creator>
  <cp:lastModifiedBy>Vopátková Alena Bc.</cp:lastModifiedBy>
  <cp:revision>2</cp:revision>
  <cp:lastPrinted>2019-01-14T08:15:00Z</cp:lastPrinted>
  <dcterms:created xsi:type="dcterms:W3CDTF">2024-07-02T07:44:00Z</dcterms:created>
  <dcterms:modified xsi:type="dcterms:W3CDTF">2024-07-02T07:44:00Z</dcterms:modified>
</cp:coreProperties>
</file>