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29"/>
        <w:gridCol w:w="12"/>
        <w:gridCol w:w="298"/>
        <w:gridCol w:w="1669"/>
        <w:gridCol w:w="2704"/>
        <w:gridCol w:w="171"/>
      </w:tblGrid>
      <w:tr w:rsidR="007E10B1" w14:paraId="4D579C01" w14:textId="77777777" w:rsidTr="007E10B1">
        <w:trPr>
          <w:cantSplit/>
          <w:trHeight w:val="679"/>
        </w:trPr>
        <w:tc>
          <w:tcPr>
            <w:tcW w:w="6808" w:type="dxa"/>
            <w:gridSpan w:val="4"/>
            <w:tcBorders>
              <w:top w:val="double" w:sz="4" w:space="0" w:color="auto"/>
              <w:left w:val="double" w:sz="4" w:space="0" w:color="auto"/>
              <w:bottom w:val="single" w:sz="4" w:space="0" w:color="auto"/>
              <w:right w:val="double" w:sz="4" w:space="0" w:color="auto"/>
            </w:tcBorders>
          </w:tcPr>
          <w:p w14:paraId="4BBD50F7" w14:textId="1892304D" w:rsidR="007E10B1" w:rsidRPr="007E10B1" w:rsidRDefault="007E10B1" w:rsidP="007E10B1">
            <w:pPr>
              <w:pStyle w:val="Nzev"/>
              <w:spacing w:before="480" w:after="480"/>
              <w:jc w:val="center"/>
              <w:rPr>
                <w:b/>
                <w:bCs/>
              </w:rPr>
            </w:pPr>
            <w:r w:rsidRPr="007E10B1">
              <w:rPr>
                <w:b/>
                <w:bCs/>
                <w:sz w:val="32"/>
                <w:szCs w:val="32"/>
              </w:rPr>
              <w:t>Objednávka</w:t>
            </w:r>
          </w:p>
        </w:tc>
        <w:tc>
          <w:tcPr>
            <w:tcW w:w="2875" w:type="dxa"/>
            <w:gridSpan w:val="2"/>
            <w:tcBorders>
              <w:top w:val="nil"/>
              <w:left w:val="double" w:sz="4" w:space="0" w:color="auto"/>
              <w:bottom w:val="nil"/>
              <w:right w:val="nil"/>
            </w:tcBorders>
            <w:vAlign w:val="center"/>
          </w:tcPr>
          <w:p w14:paraId="38D7E421" w14:textId="7B0D3A8A" w:rsidR="007E10B1" w:rsidRPr="009D2FD4" w:rsidRDefault="007E10B1" w:rsidP="007E10B1">
            <w:pPr>
              <w:pStyle w:val="Nzev"/>
              <w:rPr>
                <w:sz w:val="16"/>
              </w:rPr>
            </w:pPr>
            <w:r w:rsidRPr="007A4682">
              <w:rPr>
                <w:noProof/>
              </w:rPr>
              <w:drawing>
                <wp:inline distT="0" distB="0" distL="0" distR="0" wp14:anchorId="2D0FA1C2" wp14:editId="57CA9742">
                  <wp:extent cx="1311910" cy="485140"/>
                  <wp:effectExtent l="0" t="0" r="2540" b="0"/>
                  <wp:docPr id="2095091244"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91244" name="Obrázek 1" descr="Obsah obrázku text, Písmo, Grafika, snímek obrazovky&#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485140"/>
                          </a:xfrm>
                          <a:prstGeom prst="rect">
                            <a:avLst/>
                          </a:prstGeom>
                          <a:noFill/>
                          <a:ln>
                            <a:noFill/>
                          </a:ln>
                        </pic:spPr>
                      </pic:pic>
                    </a:graphicData>
                  </a:graphic>
                </wp:inline>
              </w:drawing>
            </w:r>
          </w:p>
        </w:tc>
      </w:tr>
      <w:tr w:rsidR="007E10B1" w14:paraId="51490066" w14:textId="77777777" w:rsidTr="00A71EB1">
        <w:trPr>
          <w:trHeight w:val="340"/>
        </w:trPr>
        <w:tc>
          <w:tcPr>
            <w:tcW w:w="4829" w:type="dxa"/>
            <w:tcBorders>
              <w:top w:val="double" w:sz="4" w:space="0" w:color="auto"/>
              <w:left w:val="double" w:sz="4" w:space="0" w:color="auto"/>
              <w:bottom w:val="single" w:sz="4" w:space="0" w:color="auto"/>
              <w:right w:val="single" w:sz="4" w:space="0" w:color="auto"/>
            </w:tcBorders>
          </w:tcPr>
          <w:p w14:paraId="3508C049" w14:textId="77777777" w:rsidR="007E10B1" w:rsidRDefault="007E10B1" w:rsidP="007E10B1">
            <w:pPr>
              <w:pStyle w:val="a"/>
              <w:spacing w:before="120" w:line="240" w:lineRule="auto"/>
            </w:pPr>
            <w:r>
              <w:t>Číslo objednávky:</w:t>
            </w:r>
          </w:p>
        </w:tc>
        <w:tc>
          <w:tcPr>
            <w:tcW w:w="4854" w:type="dxa"/>
            <w:gridSpan w:val="5"/>
            <w:tcBorders>
              <w:top w:val="double" w:sz="4" w:space="0" w:color="auto"/>
              <w:left w:val="single" w:sz="4" w:space="0" w:color="auto"/>
              <w:bottom w:val="nil"/>
              <w:right w:val="double" w:sz="4" w:space="0" w:color="auto"/>
            </w:tcBorders>
          </w:tcPr>
          <w:p w14:paraId="2BC575E8" w14:textId="16737363" w:rsidR="007E10B1" w:rsidRPr="00A71EB1" w:rsidRDefault="00A71EB1" w:rsidP="007E10B1">
            <w:pPr>
              <w:pStyle w:val="a"/>
              <w:spacing w:before="120" w:line="240" w:lineRule="auto"/>
              <w:ind w:right="284"/>
              <w:rPr>
                <w:b w:val="0"/>
                <w:bCs w:val="0"/>
              </w:rPr>
            </w:pPr>
            <w:r w:rsidRPr="00A71EB1">
              <w:rPr>
                <w:b w:val="0"/>
                <w:bCs w:val="0"/>
              </w:rPr>
              <w:t>2024/250</w:t>
            </w:r>
          </w:p>
        </w:tc>
      </w:tr>
      <w:tr w:rsidR="007E10B1" w14:paraId="5F3F9C25" w14:textId="77777777" w:rsidTr="00CD519C">
        <w:trPr>
          <w:trHeight w:val="367"/>
        </w:trPr>
        <w:tc>
          <w:tcPr>
            <w:tcW w:w="5139" w:type="dxa"/>
            <w:gridSpan w:val="3"/>
            <w:tcBorders>
              <w:top w:val="single" w:sz="4" w:space="0" w:color="auto"/>
              <w:left w:val="double" w:sz="4" w:space="0" w:color="auto"/>
              <w:bottom w:val="nil"/>
              <w:right w:val="single" w:sz="4" w:space="0" w:color="auto"/>
            </w:tcBorders>
          </w:tcPr>
          <w:p w14:paraId="78A12EF4" w14:textId="77777777" w:rsidR="007E10B1" w:rsidRPr="008D0EC0" w:rsidRDefault="007E10B1" w:rsidP="007E10B1">
            <w:pPr>
              <w:pStyle w:val="a"/>
              <w:spacing w:before="120" w:line="240" w:lineRule="auto"/>
              <w:rPr>
                <w:sz w:val="20"/>
                <w:szCs w:val="20"/>
              </w:rPr>
            </w:pPr>
            <w:r w:rsidRPr="008D0EC0">
              <w:rPr>
                <w:sz w:val="20"/>
                <w:szCs w:val="20"/>
              </w:rPr>
              <w:t>Dodavatel:</w:t>
            </w:r>
          </w:p>
        </w:tc>
        <w:tc>
          <w:tcPr>
            <w:tcW w:w="4544" w:type="dxa"/>
            <w:gridSpan w:val="3"/>
            <w:tcBorders>
              <w:top w:val="single" w:sz="4" w:space="0" w:color="auto"/>
              <w:left w:val="single" w:sz="4" w:space="0" w:color="auto"/>
              <w:bottom w:val="nil"/>
              <w:right w:val="double" w:sz="4" w:space="0" w:color="auto"/>
            </w:tcBorders>
          </w:tcPr>
          <w:p w14:paraId="5A93480A" w14:textId="77777777" w:rsidR="007E10B1" w:rsidRDefault="007E10B1" w:rsidP="007E10B1">
            <w:pPr>
              <w:pStyle w:val="Nadpis2"/>
              <w:spacing w:before="120" w:line="240" w:lineRule="auto"/>
            </w:pPr>
            <w:r w:rsidRPr="007E10B1">
              <w:rPr>
                <w:rFonts w:ascii="Tahoma" w:eastAsia="Times New Roman" w:hAnsi="Tahoma" w:cs="Tahoma"/>
                <w:b/>
                <w:bCs/>
                <w:color w:val="auto"/>
                <w:kern w:val="0"/>
                <w:sz w:val="20"/>
                <w:szCs w:val="20"/>
                <w:lang w:eastAsia="cs-CZ"/>
                <w14:ligatures w14:val="none"/>
              </w:rPr>
              <w:t>Odběratel:</w:t>
            </w:r>
          </w:p>
        </w:tc>
      </w:tr>
      <w:tr w:rsidR="007E10B1" w14:paraId="01A3892D" w14:textId="77777777" w:rsidTr="00CD519C">
        <w:trPr>
          <w:trHeight w:val="2284"/>
        </w:trPr>
        <w:tc>
          <w:tcPr>
            <w:tcW w:w="5139" w:type="dxa"/>
            <w:gridSpan w:val="3"/>
            <w:tcBorders>
              <w:top w:val="nil"/>
              <w:left w:val="double" w:sz="4" w:space="0" w:color="auto"/>
              <w:bottom w:val="single" w:sz="4" w:space="0" w:color="auto"/>
              <w:right w:val="single" w:sz="4" w:space="0" w:color="auto"/>
            </w:tcBorders>
          </w:tcPr>
          <w:p w14:paraId="5179CAF4" w14:textId="46CB07E7" w:rsidR="007E10B1" w:rsidRPr="00A71EB1" w:rsidRDefault="00A71EB1" w:rsidP="007E10B1">
            <w:pPr>
              <w:spacing w:line="240" w:lineRule="auto"/>
              <w:rPr>
                <w:rFonts w:ascii="Tahoma" w:hAnsi="Tahoma" w:cs="Tahoma"/>
                <w:color w:val="000000"/>
                <w:sz w:val="18"/>
              </w:rPr>
            </w:pPr>
            <w:r w:rsidRPr="00A71EB1">
              <w:rPr>
                <w:rFonts w:ascii="Tahoma" w:hAnsi="Tahoma" w:cs="Tahoma"/>
                <w:color w:val="000000"/>
                <w:sz w:val="18"/>
              </w:rPr>
              <w:t>UNICO.</w:t>
            </w:r>
            <w:r w:rsidR="00C22E99">
              <w:rPr>
                <w:rFonts w:ascii="Tahoma" w:hAnsi="Tahoma" w:cs="Tahoma"/>
                <w:color w:val="000000"/>
                <w:sz w:val="18"/>
              </w:rPr>
              <w:t xml:space="preserve"> </w:t>
            </w:r>
            <w:r w:rsidRPr="00A71EB1">
              <w:rPr>
                <w:rFonts w:ascii="Tahoma" w:hAnsi="Tahoma" w:cs="Tahoma"/>
                <w:color w:val="000000"/>
                <w:sz w:val="18"/>
              </w:rPr>
              <w:t xml:space="preserve">Advisory s.r.o. </w:t>
            </w:r>
            <w:r>
              <w:rPr>
                <w:rFonts w:ascii="Tahoma" w:hAnsi="Tahoma" w:cs="Tahoma"/>
                <w:color w:val="000000"/>
                <w:sz w:val="18"/>
              </w:rPr>
              <w:br/>
            </w:r>
            <w:r w:rsidRPr="00A71EB1">
              <w:rPr>
                <w:rFonts w:ascii="Tahoma" w:hAnsi="Tahoma" w:cs="Tahoma"/>
                <w:color w:val="000000"/>
                <w:sz w:val="18"/>
              </w:rPr>
              <w:br/>
              <w:t xml:space="preserve">Krakovská 1256/24 </w:t>
            </w:r>
            <w:r>
              <w:rPr>
                <w:rFonts w:ascii="Tahoma" w:hAnsi="Tahoma" w:cs="Tahoma"/>
                <w:color w:val="000000"/>
                <w:sz w:val="18"/>
              </w:rPr>
              <w:br/>
            </w:r>
            <w:r w:rsidRPr="00A71EB1">
              <w:rPr>
                <w:rFonts w:ascii="Tahoma" w:hAnsi="Tahoma" w:cs="Tahoma"/>
                <w:color w:val="000000"/>
                <w:sz w:val="18"/>
              </w:rPr>
              <w:br/>
              <w:t xml:space="preserve">Nové Město, Praha 1, 110 00 </w:t>
            </w:r>
            <w:r>
              <w:rPr>
                <w:rFonts w:ascii="Tahoma" w:hAnsi="Tahoma" w:cs="Tahoma"/>
                <w:color w:val="000000"/>
                <w:sz w:val="18"/>
              </w:rPr>
              <w:br/>
            </w:r>
            <w:r w:rsidRPr="00A71EB1">
              <w:rPr>
                <w:rFonts w:ascii="Tahoma" w:hAnsi="Tahoma" w:cs="Tahoma"/>
                <w:color w:val="000000"/>
                <w:sz w:val="18"/>
              </w:rPr>
              <w:br/>
              <w:t xml:space="preserve">IČ: 21484112 </w:t>
            </w:r>
            <w:r>
              <w:rPr>
                <w:rFonts w:ascii="Tahoma" w:hAnsi="Tahoma" w:cs="Tahoma"/>
                <w:color w:val="000000"/>
                <w:sz w:val="18"/>
              </w:rPr>
              <w:br/>
            </w:r>
            <w:r w:rsidRPr="00A71EB1">
              <w:rPr>
                <w:rFonts w:ascii="Tahoma" w:hAnsi="Tahoma" w:cs="Tahoma"/>
                <w:color w:val="000000"/>
                <w:sz w:val="18"/>
              </w:rPr>
              <w:br/>
              <w:t>DIČ: CZ21484112</w:t>
            </w:r>
            <w:r>
              <w:rPr>
                <w:rFonts w:ascii="Tahoma" w:hAnsi="Tahoma" w:cs="Tahoma"/>
                <w:color w:val="000000"/>
                <w:sz w:val="18"/>
              </w:rPr>
              <w:br/>
            </w:r>
            <w:r w:rsidRPr="00A71EB1">
              <w:rPr>
                <w:rFonts w:ascii="Tahoma" w:hAnsi="Tahoma" w:cs="Tahoma"/>
                <w:color w:val="000000"/>
                <w:sz w:val="18"/>
              </w:rPr>
              <w:t xml:space="preserve"> </w:t>
            </w:r>
            <w:r w:rsidRPr="00A71EB1">
              <w:rPr>
                <w:rFonts w:ascii="Tahoma" w:hAnsi="Tahoma" w:cs="Tahoma"/>
                <w:color w:val="000000"/>
                <w:sz w:val="18"/>
              </w:rPr>
              <w:br/>
              <w:t>č.ú: 267022137/0600</w:t>
            </w:r>
          </w:p>
        </w:tc>
        <w:tc>
          <w:tcPr>
            <w:tcW w:w="4544" w:type="dxa"/>
            <w:gridSpan w:val="3"/>
            <w:tcBorders>
              <w:top w:val="nil"/>
              <w:left w:val="single" w:sz="4" w:space="0" w:color="auto"/>
              <w:bottom w:val="single" w:sz="4" w:space="0" w:color="auto"/>
              <w:right w:val="double" w:sz="4" w:space="0" w:color="auto"/>
            </w:tcBorders>
          </w:tcPr>
          <w:p w14:paraId="486BD326" w14:textId="77777777" w:rsidR="007E10B1" w:rsidRPr="009344E3" w:rsidRDefault="007E10B1" w:rsidP="007E10B1">
            <w:pPr>
              <w:spacing w:line="240" w:lineRule="auto"/>
              <w:rPr>
                <w:rFonts w:ascii="Tahoma" w:hAnsi="Tahoma" w:cs="Tahoma"/>
                <w:color w:val="000000"/>
                <w:sz w:val="18"/>
              </w:rPr>
            </w:pPr>
            <w:r>
              <w:rPr>
                <w:rFonts w:ascii="Tahoma" w:hAnsi="Tahoma" w:cs="Tahoma"/>
                <w:color w:val="000000"/>
                <w:sz w:val="18"/>
              </w:rPr>
              <w:t>Centrum investic, rozvoje a inovací</w:t>
            </w:r>
          </w:p>
          <w:p w14:paraId="6B9030D8" w14:textId="77777777" w:rsidR="007E10B1" w:rsidRPr="009344E3" w:rsidRDefault="007E10B1" w:rsidP="007E10B1">
            <w:pPr>
              <w:spacing w:line="240" w:lineRule="auto"/>
              <w:rPr>
                <w:rFonts w:ascii="Tahoma" w:hAnsi="Tahoma" w:cs="Tahoma"/>
                <w:color w:val="000000"/>
                <w:sz w:val="18"/>
              </w:rPr>
            </w:pPr>
            <w:r>
              <w:rPr>
                <w:rFonts w:ascii="Tahoma" w:hAnsi="Tahoma" w:cs="Tahoma"/>
                <w:color w:val="000000"/>
                <w:sz w:val="18"/>
              </w:rPr>
              <w:t>Soukenická 54</w:t>
            </w:r>
          </w:p>
          <w:p w14:paraId="15AEB8B8" w14:textId="77777777" w:rsidR="007E10B1" w:rsidRPr="009344E3" w:rsidRDefault="007E10B1" w:rsidP="007E10B1">
            <w:pPr>
              <w:spacing w:line="240" w:lineRule="auto"/>
              <w:rPr>
                <w:rFonts w:ascii="Tahoma" w:hAnsi="Tahoma" w:cs="Tahoma"/>
                <w:color w:val="000000"/>
                <w:sz w:val="18"/>
              </w:rPr>
            </w:pPr>
            <w:r w:rsidRPr="009344E3">
              <w:rPr>
                <w:rFonts w:ascii="Tahoma" w:hAnsi="Tahoma" w:cs="Tahoma"/>
                <w:color w:val="000000"/>
                <w:sz w:val="18"/>
              </w:rPr>
              <w:t xml:space="preserve">Hradec Králové </w:t>
            </w:r>
          </w:p>
          <w:p w14:paraId="6AF13432" w14:textId="77777777" w:rsidR="007E10B1" w:rsidRPr="009344E3" w:rsidRDefault="007E10B1" w:rsidP="007E10B1">
            <w:pPr>
              <w:spacing w:line="240" w:lineRule="auto"/>
              <w:rPr>
                <w:rFonts w:ascii="Tahoma" w:hAnsi="Tahoma" w:cs="Tahoma"/>
                <w:color w:val="000000"/>
                <w:sz w:val="18"/>
              </w:rPr>
            </w:pPr>
            <w:r w:rsidRPr="009344E3">
              <w:rPr>
                <w:rFonts w:ascii="Tahoma" w:hAnsi="Tahoma" w:cs="Tahoma"/>
                <w:color w:val="000000"/>
                <w:sz w:val="18"/>
              </w:rPr>
              <w:t>500 0</w:t>
            </w:r>
            <w:r>
              <w:rPr>
                <w:rFonts w:ascii="Tahoma" w:hAnsi="Tahoma" w:cs="Tahoma"/>
                <w:color w:val="000000"/>
                <w:sz w:val="18"/>
              </w:rPr>
              <w:t>3</w:t>
            </w:r>
          </w:p>
          <w:p w14:paraId="426C5BB3" w14:textId="45F8E7DD" w:rsidR="007E10B1" w:rsidRDefault="007E10B1" w:rsidP="007E10B1">
            <w:pPr>
              <w:tabs>
                <w:tab w:val="left" w:pos="544"/>
              </w:tabs>
              <w:spacing w:line="240" w:lineRule="auto"/>
              <w:rPr>
                <w:rFonts w:ascii="Tahoma" w:hAnsi="Tahoma" w:cs="Tahoma"/>
                <w:color w:val="000000"/>
                <w:sz w:val="18"/>
              </w:rPr>
            </w:pPr>
            <w:r w:rsidRPr="009344E3">
              <w:rPr>
                <w:rFonts w:ascii="Tahoma" w:hAnsi="Tahoma" w:cs="Tahoma"/>
                <w:color w:val="000000"/>
                <w:sz w:val="18"/>
              </w:rPr>
              <w:t xml:space="preserve">IČ: </w:t>
            </w:r>
            <w:r>
              <w:rPr>
                <w:rFonts w:ascii="Tahoma" w:hAnsi="Tahoma" w:cs="Tahoma"/>
                <w:color w:val="000000"/>
                <w:sz w:val="18"/>
              </w:rPr>
              <w:t>71218840</w:t>
            </w:r>
          </w:p>
          <w:p w14:paraId="5206AD7B" w14:textId="0C893D23" w:rsidR="007E10B1" w:rsidRPr="009344E3" w:rsidRDefault="007E10B1" w:rsidP="007E10B1">
            <w:pPr>
              <w:tabs>
                <w:tab w:val="left" w:pos="544"/>
              </w:tabs>
              <w:spacing w:line="240" w:lineRule="auto"/>
              <w:rPr>
                <w:rFonts w:ascii="Tahoma" w:hAnsi="Tahoma" w:cs="Tahoma"/>
                <w:color w:val="000000"/>
                <w:sz w:val="18"/>
              </w:rPr>
            </w:pPr>
            <w:r>
              <w:rPr>
                <w:rFonts w:ascii="Tahoma" w:hAnsi="Tahoma" w:cs="Tahoma"/>
                <w:color w:val="000000"/>
                <w:sz w:val="18"/>
              </w:rPr>
              <w:t>DIČ: CZ71218840</w:t>
            </w:r>
          </w:p>
          <w:p w14:paraId="653A1E26" w14:textId="78E3DA5B" w:rsidR="007E10B1" w:rsidRPr="009344E3" w:rsidRDefault="007E10B1" w:rsidP="007E10B1">
            <w:pPr>
              <w:spacing w:line="240" w:lineRule="auto"/>
              <w:rPr>
                <w:rFonts w:ascii="Tahoma" w:hAnsi="Tahoma" w:cs="Tahoma"/>
                <w:color w:val="000000"/>
                <w:sz w:val="18"/>
              </w:rPr>
            </w:pPr>
            <w:r w:rsidRPr="009344E3">
              <w:rPr>
                <w:rFonts w:ascii="Tahoma" w:hAnsi="Tahoma" w:cs="Tahoma"/>
                <w:color w:val="000000"/>
                <w:sz w:val="18"/>
              </w:rPr>
              <w:t>Č.ú.: 35-0367350277/0100 KB</w:t>
            </w:r>
          </w:p>
        </w:tc>
      </w:tr>
      <w:tr w:rsidR="007E10B1" w14:paraId="43F96349" w14:textId="77777777" w:rsidTr="00CD519C">
        <w:trPr>
          <w:trHeight w:val="3543"/>
        </w:trPr>
        <w:tc>
          <w:tcPr>
            <w:tcW w:w="9512" w:type="dxa"/>
            <w:gridSpan w:val="5"/>
            <w:tcBorders>
              <w:top w:val="single" w:sz="4" w:space="0" w:color="auto"/>
              <w:left w:val="double" w:sz="4" w:space="0" w:color="auto"/>
              <w:bottom w:val="single" w:sz="4" w:space="0" w:color="auto"/>
              <w:right w:val="nil"/>
            </w:tcBorders>
          </w:tcPr>
          <w:p w14:paraId="79D23000" w14:textId="77777777" w:rsidR="007E10B1" w:rsidRPr="007E10B1" w:rsidRDefault="007E10B1" w:rsidP="007E10B1">
            <w:pPr>
              <w:spacing w:line="240" w:lineRule="auto"/>
              <w:rPr>
                <w:rFonts w:ascii="Tahoma" w:hAnsi="Tahoma" w:cs="Tahoma"/>
                <w:color w:val="000000"/>
                <w:sz w:val="18"/>
                <w:szCs w:val="18"/>
              </w:rPr>
            </w:pPr>
          </w:p>
          <w:p w14:paraId="0F887A19" w14:textId="1B1A2F93" w:rsidR="007E10B1" w:rsidRPr="007E10B1" w:rsidRDefault="00A71EB1" w:rsidP="007E10B1">
            <w:pPr>
              <w:spacing w:line="240" w:lineRule="auto"/>
              <w:rPr>
                <w:rFonts w:ascii="Tahoma" w:hAnsi="Tahoma" w:cs="Tahoma"/>
                <w:color w:val="000000"/>
                <w:sz w:val="20"/>
                <w:szCs w:val="20"/>
              </w:rPr>
            </w:pPr>
            <w:r w:rsidRPr="00A71EB1">
              <w:rPr>
                <w:rFonts w:ascii="Tahoma" w:hAnsi="Tahoma" w:cs="Tahoma"/>
                <w:color w:val="000000"/>
                <w:sz w:val="18"/>
              </w:rPr>
              <w:t xml:space="preserve">Objednáváme u Vás přístup do mezinárodních databází pro sledování vývoje a technologických trendů zaměřených na Královéhradecký kraj v kontextu světové ekonomiky v rozsahu a za podmínek popsaných v příloze č.1 této objednávky. </w:t>
            </w:r>
            <w:r>
              <w:rPr>
                <w:rFonts w:ascii="Tahoma" w:hAnsi="Tahoma" w:cs="Tahoma"/>
                <w:color w:val="000000"/>
                <w:sz w:val="18"/>
              </w:rPr>
              <w:br/>
            </w:r>
            <w:r>
              <w:rPr>
                <w:rFonts w:ascii="Tahoma" w:hAnsi="Tahoma" w:cs="Tahoma"/>
                <w:color w:val="000000"/>
                <w:sz w:val="18"/>
              </w:rPr>
              <w:br/>
            </w:r>
            <w:r w:rsidRPr="00A71EB1">
              <w:rPr>
                <w:rFonts w:ascii="Tahoma" w:hAnsi="Tahoma" w:cs="Tahoma"/>
                <w:color w:val="000000"/>
                <w:sz w:val="18"/>
              </w:rPr>
              <w:t xml:space="preserve">Částka nesmí přesáhnout: </w:t>
            </w:r>
            <w:r w:rsidRPr="00A71EB1">
              <w:rPr>
                <w:rFonts w:ascii="Tahoma" w:hAnsi="Tahoma" w:cs="Tahoma"/>
                <w:b/>
                <w:bCs/>
                <w:color w:val="000000"/>
                <w:sz w:val="18"/>
              </w:rPr>
              <w:t xml:space="preserve">157.000 Kč včetně DPH. </w:t>
            </w:r>
            <w:r w:rsidRPr="00A71EB1">
              <w:rPr>
                <w:rFonts w:ascii="Tahoma" w:hAnsi="Tahoma" w:cs="Tahoma"/>
                <w:b/>
                <w:bCs/>
                <w:color w:val="000000"/>
                <w:sz w:val="18"/>
              </w:rPr>
              <w:br/>
            </w:r>
            <w:r>
              <w:rPr>
                <w:rFonts w:ascii="Tahoma" w:hAnsi="Tahoma" w:cs="Tahoma"/>
                <w:color w:val="000000"/>
                <w:sz w:val="18"/>
              </w:rPr>
              <w:br/>
            </w:r>
            <w:r w:rsidRPr="00A71EB1">
              <w:rPr>
                <w:rFonts w:ascii="Tahoma" w:hAnsi="Tahoma" w:cs="Tahoma"/>
                <w:color w:val="000000"/>
                <w:sz w:val="18"/>
              </w:rPr>
              <w:t xml:space="preserve">Na fakturách prosím uveďte: </w:t>
            </w:r>
            <w:r w:rsidRPr="00A71EB1">
              <w:rPr>
                <w:rFonts w:ascii="Tahoma" w:hAnsi="Tahoma" w:cs="Tahoma"/>
                <w:b/>
                <w:bCs/>
                <w:color w:val="000000"/>
                <w:sz w:val="18"/>
              </w:rPr>
              <w:t>Výdaje budou hrazeny v rámci projektu Smart akcelerátor+ Královéhradeckého kraje I (CZ.02.01.02/00/22_009/0003506)</w:t>
            </w:r>
          </w:p>
        </w:tc>
        <w:tc>
          <w:tcPr>
            <w:tcW w:w="171" w:type="dxa"/>
            <w:tcBorders>
              <w:top w:val="single" w:sz="4" w:space="0" w:color="auto"/>
              <w:left w:val="nil"/>
              <w:bottom w:val="single" w:sz="4" w:space="0" w:color="auto"/>
              <w:right w:val="double" w:sz="4" w:space="0" w:color="auto"/>
            </w:tcBorders>
          </w:tcPr>
          <w:p w14:paraId="01C0C71C" w14:textId="77777777" w:rsidR="007E10B1" w:rsidRDefault="007E10B1" w:rsidP="007E10B1">
            <w:pPr>
              <w:spacing w:line="240" w:lineRule="auto"/>
              <w:rPr>
                <w:rFonts w:ascii="Tahoma" w:hAnsi="Tahoma" w:cs="Tahoma"/>
                <w:color w:val="000000"/>
                <w:sz w:val="18"/>
                <w:szCs w:val="18"/>
              </w:rPr>
            </w:pPr>
          </w:p>
          <w:p w14:paraId="5BA32F39" w14:textId="77777777" w:rsidR="007E10B1" w:rsidRDefault="007E10B1" w:rsidP="007E10B1">
            <w:pPr>
              <w:spacing w:line="240" w:lineRule="auto"/>
              <w:rPr>
                <w:rFonts w:ascii="Tahoma" w:hAnsi="Tahoma" w:cs="Tahoma"/>
                <w:color w:val="000000"/>
                <w:sz w:val="18"/>
                <w:szCs w:val="18"/>
              </w:rPr>
            </w:pPr>
          </w:p>
          <w:p w14:paraId="1E578470" w14:textId="77777777" w:rsidR="007E10B1" w:rsidRDefault="007E10B1" w:rsidP="007E10B1">
            <w:pPr>
              <w:spacing w:line="240" w:lineRule="auto"/>
              <w:rPr>
                <w:rFonts w:ascii="Tahoma" w:hAnsi="Tahoma" w:cs="Tahoma"/>
                <w:color w:val="000000"/>
                <w:sz w:val="18"/>
                <w:szCs w:val="18"/>
              </w:rPr>
            </w:pPr>
          </w:p>
          <w:p w14:paraId="1E80884B" w14:textId="77777777" w:rsidR="007E10B1" w:rsidRDefault="007E10B1" w:rsidP="007E10B1">
            <w:pPr>
              <w:spacing w:line="240" w:lineRule="auto"/>
              <w:rPr>
                <w:rFonts w:ascii="Tahoma" w:hAnsi="Tahoma" w:cs="Tahoma"/>
                <w:color w:val="000000"/>
                <w:sz w:val="18"/>
              </w:rPr>
            </w:pPr>
          </w:p>
        </w:tc>
      </w:tr>
      <w:tr w:rsidR="007E10B1" w14:paraId="14DFABCE" w14:textId="77777777" w:rsidTr="00A71EB1">
        <w:trPr>
          <w:trHeight w:val="253"/>
        </w:trPr>
        <w:tc>
          <w:tcPr>
            <w:tcW w:w="4829" w:type="dxa"/>
            <w:tcBorders>
              <w:top w:val="single" w:sz="4" w:space="0" w:color="auto"/>
              <w:left w:val="double" w:sz="4" w:space="0" w:color="auto"/>
              <w:bottom w:val="single" w:sz="4" w:space="0" w:color="auto"/>
              <w:right w:val="single" w:sz="4" w:space="0" w:color="auto"/>
            </w:tcBorders>
          </w:tcPr>
          <w:p w14:paraId="5162D0A5" w14:textId="77777777" w:rsidR="007E10B1" w:rsidRDefault="007E10B1" w:rsidP="007E10B1">
            <w:pPr>
              <w:spacing w:before="120" w:line="240" w:lineRule="auto"/>
              <w:jc w:val="right"/>
              <w:rPr>
                <w:rFonts w:ascii="Tahoma" w:hAnsi="Tahoma" w:cs="Tahoma"/>
                <w:sz w:val="18"/>
              </w:rPr>
            </w:pPr>
            <w:r>
              <w:rPr>
                <w:rFonts w:ascii="Tahoma" w:hAnsi="Tahoma" w:cs="Tahoma"/>
                <w:sz w:val="18"/>
              </w:rPr>
              <w:t>Forma úhrady:</w:t>
            </w:r>
          </w:p>
        </w:tc>
        <w:tc>
          <w:tcPr>
            <w:tcW w:w="4854" w:type="dxa"/>
            <w:gridSpan w:val="5"/>
            <w:tcBorders>
              <w:top w:val="single" w:sz="4" w:space="0" w:color="auto"/>
              <w:left w:val="single" w:sz="4" w:space="0" w:color="auto"/>
              <w:bottom w:val="single" w:sz="4" w:space="0" w:color="auto"/>
              <w:right w:val="double" w:sz="4" w:space="0" w:color="auto"/>
            </w:tcBorders>
          </w:tcPr>
          <w:p w14:paraId="56EB1DB6" w14:textId="77777777" w:rsidR="007E10B1" w:rsidRDefault="007E10B1" w:rsidP="007E10B1">
            <w:pPr>
              <w:spacing w:before="120" w:line="240" w:lineRule="auto"/>
              <w:ind w:left="284"/>
              <w:rPr>
                <w:rFonts w:ascii="Tahoma" w:hAnsi="Tahoma" w:cs="Tahoma"/>
                <w:sz w:val="18"/>
              </w:rPr>
            </w:pPr>
            <w:r>
              <w:rPr>
                <w:rFonts w:ascii="Tahoma" w:hAnsi="Tahoma" w:cs="Tahoma"/>
                <w:sz w:val="18"/>
              </w:rPr>
              <w:t>Bankovní převod</w:t>
            </w:r>
          </w:p>
        </w:tc>
      </w:tr>
      <w:tr w:rsidR="007E10B1" w14:paraId="35CDD817" w14:textId="77777777" w:rsidTr="00A71EB1">
        <w:trPr>
          <w:trHeight w:val="329"/>
        </w:trPr>
        <w:tc>
          <w:tcPr>
            <w:tcW w:w="4829" w:type="dxa"/>
            <w:tcBorders>
              <w:top w:val="single" w:sz="4" w:space="0" w:color="auto"/>
              <w:left w:val="double" w:sz="4" w:space="0" w:color="auto"/>
              <w:bottom w:val="single" w:sz="4" w:space="0" w:color="auto"/>
              <w:right w:val="single" w:sz="4" w:space="0" w:color="auto"/>
            </w:tcBorders>
          </w:tcPr>
          <w:p w14:paraId="63CECBC2" w14:textId="77777777" w:rsidR="007E10B1" w:rsidRDefault="007E10B1" w:rsidP="007E10B1">
            <w:pPr>
              <w:spacing w:before="120" w:line="240" w:lineRule="auto"/>
              <w:jc w:val="right"/>
              <w:rPr>
                <w:rFonts w:ascii="Tahoma" w:hAnsi="Tahoma" w:cs="Tahoma"/>
                <w:sz w:val="18"/>
              </w:rPr>
            </w:pPr>
            <w:r>
              <w:rPr>
                <w:rFonts w:ascii="Tahoma" w:hAnsi="Tahoma" w:cs="Tahoma"/>
                <w:sz w:val="18"/>
              </w:rPr>
              <w:t>Vystavil:</w:t>
            </w:r>
          </w:p>
        </w:tc>
        <w:tc>
          <w:tcPr>
            <w:tcW w:w="4854" w:type="dxa"/>
            <w:gridSpan w:val="5"/>
            <w:tcBorders>
              <w:top w:val="single" w:sz="4" w:space="0" w:color="auto"/>
              <w:left w:val="single" w:sz="4" w:space="0" w:color="auto"/>
              <w:bottom w:val="single" w:sz="4" w:space="0" w:color="auto"/>
              <w:right w:val="double" w:sz="4" w:space="0" w:color="auto"/>
            </w:tcBorders>
          </w:tcPr>
          <w:p w14:paraId="0F6BCE16" w14:textId="5CDA856D" w:rsidR="007E10B1" w:rsidRPr="00FD347A" w:rsidRDefault="007E10B1" w:rsidP="007E10B1">
            <w:pPr>
              <w:spacing w:before="120" w:line="240" w:lineRule="auto"/>
              <w:ind w:left="284"/>
              <w:rPr>
                <w:rFonts w:ascii="Tahoma" w:hAnsi="Tahoma" w:cs="Tahoma"/>
                <w:sz w:val="18"/>
              </w:rPr>
            </w:pPr>
          </w:p>
        </w:tc>
      </w:tr>
      <w:tr w:rsidR="007E10B1" w14:paraId="374F1E0B" w14:textId="77777777" w:rsidTr="00A71EB1">
        <w:trPr>
          <w:trHeight w:val="329"/>
        </w:trPr>
        <w:tc>
          <w:tcPr>
            <w:tcW w:w="4829" w:type="dxa"/>
            <w:tcBorders>
              <w:top w:val="single" w:sz="4" w:space="0" w:color="auto"/>
              <w:left w:val="double" w:sz="4" w:space="0" w:color="auto"/>
              <w:bottom w:val="single" w:sz="4" w:space="0" w:color="auto"/>
              <w:right w:val="single" w:sz="4" w:space="0" w:color="auto"/>
            </w:tcBorders>
          </w:tcPr>
          <w:p w14:paraId="34E7C9BD" w14:textId="77777777" w:rsidR="007E10B1" w:rsidRDefault="007E10B1" w:rsidP="007E10B1">
            <w:pPr>
              <w:spacing w:before="120" w:line="240" w:lineRule="auto"/>
              <w:jc w:val="right"/>
              <w:rPr>
                <w:rFonts w:ascii="Tahoma" w:hAnsi="Tahoma" w:cs="Tahoma"/>
                <w:sz w:val="18"/>
              </w:rPr>
            </w:pPr>
            <w:r>
              <w:rPr>
                <w:rFonts w:ascii="Tahoma" w:hAnsi="Tahoma" w:cs="Tahoma"/>
                <w:sz w:val="18"/>
              </w:rPr>
              <w:t>Datum vystavení:</w:t>
            </w:r>
          </w:p>
        </w:tc>
        <w:tc>
          <w:tcPr>
            <w:tcW w:w="4854" w:type="dxa"/>
            <w:gridSpan w:val="5"/>
            <w:tcBorders>
              <w:top w:val="single" w:sz="4" w:space="0" w:color="auto"/>
              <w:left w:val="single" w:sz="4" w:space="0" w:color="auto"/>
              <w:bottom w:val="single" w:sz="4" w:space="0" w:color="auto"/>
              <w:right w:val="double" w:sz="4" w:space="0" w:color="auto"/>
            </w:tcBorders>
          </w:tcPr>
          <w:p w14:paraId="3B333A44" w14:textId="22FF2D3D" w:rsidR="007E10B1" w:rsidRPr="00A71EB1" w:rsidRDefault="00A71EB1" w:rsidP="007E10B1">
            <w:pPr>
              <w:spacing w:before="120" w:line="240" w:lineRule="auto"/>
              <w:ind w:left="284"/>
              <w:rPr>
                <w:rFonts w:ascii="Tahoma" w:hAnsi="Tahoma" w:cs="Tahoma"/>
                <w:sz w:val="18"/>
              </w:rPr>
            </w:pPr>
            <w:r w:rsidRPr="00A71EB1">
              <w:rPr>
                <w:rFonts w:ascii="Tahoma" w:hAnsi="Tahoma" w:cs="Tahoma"/>
                <w:sz w:val="18"/>
              </w:rPr>
              <w:t>17.06.2024</w:t>
            </w:r>
          </w:p>
        </w:tc>
      </w:tr>
      <w:tr w:rsidR="007E10B1" w14:paraId="058CA673" w14:textId="77777777" w:rsidTr="00A71EB1">
        <w:trPr>
          <w:trHeight w:val="340"/>
        </w:trPr>
        <w:tc>
          <w:tcPr>
            <w:tcW w:w="4829" w:type="dxa"/>
            <w:tcBorders>
              <w:top w:val="single" w:sz="4" w:space="0" w:color="auto"/>
              <w:left w:val="double" w:sz="4" w:space="0" w:color="auto"/>
              <w:bottom w:val="single" w:sz="4" w:space="0" w:color="auto"/>
              <w:right w:val="single" w:sz="4" w:space="0" w:color="auto"/>
            </w:tcBorders>
          </w:tcPr>
          <w:p w14:paraId="71404F94" w14:textId="77777777" w:rsidR="007E10B1" w:rsidRDefault="007E10B1" w:rsidP="007E10B1">
            <w:pPr>
              <w:spacing w:before="120" w:line="240" w:lineRule="auto"/>
              <w:jc w:val="right"/>
              <w:rPr>
                <w:rFonts w:ascii="Tahoma" w:hAnsi="Tahoma" w:cs="Tahoma"/>
                <w:sz w:val="18"/>
              </w:rPr>
            </w:pPr>
            <w:r>
              <w:rPr>
                <w:rFonts w:ascii="Tahoma" w:hAnsi="Tahoma" w:cs="Tahoma"/>
                <w:sz w:val="18"/>
              </w:rPr>
              <w:t>Zakázka:</w:t>
            </w:r>
          </w:p>
        </w:tc>
        <w:tc>
          <w:tcPr>
            <w:tcW w:w="4854" w:type="dxa"/>
            <w:gridSpan w:val="5"/>
            <w:tcBorders>
              <w:top w:val="single" w:sz="4" w:space="0" w:color="auto"/>
              <w:left w:val="single" w:sz="4" w:space="0" w:color="auto"/>
              <w:bottom w:val="single" w:sz="4" w:space="0" w:color="auto"/>
              <w:right w:val="double" w:sz="4" w:space="0" w:color="auto"/>
            </w:tcBorders>
          </w:tcPr>
          <w:p w14:paraId="4B39DAD3" w14:textId="265757ED" w:rsidR="007E10B1" w:rsidRPr="00B50BC2" w:rsidRDefault="007E10B1" w:rsidP="007E10B1">
            <w:pPr>
              <w:spacing w:before="120" w:line="240" w:lineRule="auto"/>
              <w:ind w:left="284"/>
              <w:rPr>
                <w:rFonts w:ascii="Tahoma" w:hAnsi="Tahoma" w:cs="Tahoma"/>
                <w:sz w:val="18"/>
              </w:rPr>
            </w:pPr>
            <w:r>
              <w:rPr>
                <w:rFonts w:ascii="Tahoma" w:hAnsi="Tahoma" w:cs="Tahoma"/>
                <w:sz w:val="18"/>
              </w:rPr>
              <w:t>273 30</w:t>
            </w:r>
            <w:r w:rsidR="00A71EB1">
              <w:rPr>
                <w:rFonts w:ascii="Tahoma" w:hAnsi="Tahoma" w:cs="Tahoma"/>
                <w:sz w:val="18"/>
              </w:rPr>
              <w:t>0</w:t>
            </w:r>
          </w:p>
        </w:tc>
      </w:tr>
      <w:tr w:rsidR="007E10B1" w14:paraId="12E01531" w14:textId="77777777" w:rsidTr="00A71EB1">
        <w:trPr>
          <w:trHeight w:val="329"/>
        </w:trPr>
        <w:tc>
          <w:tcPr>
            <w:tcW w:w="4829" w:type="dxa"/>
            <w:tcBorders>
              <w:top w:val="single" w:sz="4" w:space="0" w:color="auto"/>
              <w:left w:val="double" w:sz="4" w:space="0" w:color="auto"/>
              <w:bottom w:val="single" w:sz="4" w:space="0" w:color="auto"/>
              <w:right w:val="single" w:sz="4" w:space="0" w:color="auto"/>
            </w:tcBorders>
          </w:tcPr>
          <w:p w14:paraId="7FDA3C6D" w14:textId="77777777" w:rsidR="007E10B1" w:rsidRDefault="007E10B1" w:rsidP="007E10B1">
            <w:pPr>
              <w:spacing w:line="240" w:lineRule="auto"/>
              <w:jc w:val="right"/>
              <w:rPr>
                <w:rFonts w:ascii="Tahoma" w:hAnsi="Tahoma" w:cs="Tahoma"/>
                <w:sz w:val="18"/>
              </w:rPr>
            </w:pPr>
            <w:r>
              <w:rPr>
                <w:rFonts w:ascii="Tahoma" w:hAnsi="Tahoma" w:cs="Tahoma"/>
                <w:sz w:val="18"/>
              </w:rPr>
              <w:t>Věcná správnost/přípustnost operace:</w:t>
            </w:r>
          </w:p>
        </w:tc>
        <w:tc>
          <w:tcPr>
            <w:tcW w:w="4854" w:type="dxa"/>
            <w:gridSpan w:val="5"/>
            <w:tcBorders>
              <w:top w:val="single" w:sz="4" w:space="0" w:color="auto"/>
              <w:left w:val="single" w:sz="4" w:space="0" w:color="auto"/>
              <w:bottom w:val="single" w:sz="4" w:space="0" w:color="auto"/>
              <w:right w:val="double" w:sz="4" w:space="0" w:color="auto"/>
            </w:tcBorders>
          </w:tcPr>
          <w:p w14:paraId="724D19B4" w14:textId="463D927F" w:rsidR="007E10B1" w:rsidRPr="00FD347A" w:rsidRDefault="007E10B1" w:rsidP="007E10B1">
            <w:pPr>
              <w:spacing w:before="120" w:line="240" w:lineRule="auto"/>
              <w:ind w:left="284"/>
              <w:rPr>
                <w:rFonts w:ascii="Tahoma" w:hAnsi="Tahoma" w:cs="Tahoma"/>
                <w:sz w:val="18"/>
              </w:rPr>
            </w:pPr>
          </w:p>
        </w:tc>
      </w:tr>
      <w:tr w:rsidR="007E10B1" w14:paraId="77BE404D" w14:textId="77777777" w:rsidTr="00A71EB1">
        <w:trPr>
          <w:trHeight w:val="329"/>
        </w:trPr>
        <w:tc>
          <w:tcPr>
            <w:tcW w:w="4829" w:type="dxa"/>
            <w:tcBorders>
              <w:top w:val="single" w:sz="4" w:space="0" w:color="auto"/>
              <w:left w:val="double" w:sz="4" w:space="0" w:color="auto"/>
              <w:bottom w:val="single" w:sz="4" w:space="0" w:color="auto"/>
              <w:right w:val="single" w:sz="4" w:space="0" w:color="auto"/>
            </w:tcBorders>
          </w:tcPr>
          <w:p w14:paraId="3999A396" w14:textId="77777777" w:rsidR="007E10B1" w:rsidRDefault="007E10B1" w:rsidP="007E10B1">
            <w:pPr>
              <w:spacing w:before="120" w:line="240" w:lineRule="auto"/>
              <w:jc w:val="right"/>
              <w:rPr>
                <w:rFonts w:ascii="Tahoma" w:hAnsi="Tahoma" w:cs="Tahoma"/>
                <w:sz w:val="18"/>
              </w:rPr>
            </w:pPr>
            <w:r>
              <w:rPr>
                <w:rFonts w:ascii="Tahoma" w:hAnsi="Tahoma" w:cs="Tahoma"/>
                <w:sz w:val="18"/>
              </w:rPr>
              <w:t>Správce rozpočtu:</w:t>
            </w:r>
          </w:p>
        </w:tc>
        <w:tc>
          <w:tcPr>
            <w:tcW w:w="4854" w:type="dxa"/>
            <w:gridSpan w:val="5"/>
            <w:tcBorders>
              <w:top w:val="single" w:sz="4" w:space="0" w:color="auto"/>
              <w:left w:val="single" w:sz="4" w:space="0" w:color="auto"/>
              <w:bottom w:val="single" w:sz="4" w:space="0" w:color="auto"/>
              <w:right w:val="double" w:sz="4" w:space="0" w:color="auto"/>
            </w:tcBorders>
          </w:tcPr>
          <w:p w14:paraId="56258077" w14:textId="4329DB31" w:rsidR="007E10B1" w:rsidRPr="00E060C9" w:rsidRDefault="007E10B1" w:rsidP="007E10B1">
            <w:pPr>
              <w:spacing w:before="120" w:line="240" w:lineRule="auto"/>
              <w:ind w:left="284"/>
              <w:rPr>
                <w:rFonts w:ascii="Tahoma" w:hAnsi="Tahoma" w:cs="Tahoma"/>
                <w:sz w:val="18"/>
              </w:rPr>
            </w:pPr>
          </w:p>
        </w:tc>
      </w:tr>
      <w:tr w:rsidR="00A71EB1" w14:paraId="44A2E487" w14:textId="77777777" w:rsidTr="00043E7D">
        <w:trPr>
          <w:cantSplit/>
          <w:trHeight w:val="260"/>
        </w:trPr>
        <w:tc>
          <w:tcPr>
            <w:tcW w:w="4841" w:type="dxa"/>
            <w:gridSpan w:val="2"/>
            <w:tcBorders>
              <w:top w:val="single" w:sz="4" w:space="0" w:color="auto"/>
              <w:left w:val="double" w:sz="4" w:space="0" w:color="auto"/>
              <w:bottom w:val="double" w:sz="4" w:space="0" w:color="auto"/>
              <w:right w:val="double" w:sz="4" w:space="0" w:color="auto"/>
            </w:tcBorders>
          </w:tcPr>
          <w:p w14:paraId="0B968274" w14:textId="77777777" w:rsidR="00A71EB1" w:rsidRPr="00A71EB1" w:rsidRDefault="00A71EB1" w:rsidP="00A71EB1">
            <w:pPr>
              <w:spacing w:line="240" w:lineRule="auto"/>
              <w:rPr>
                <w:rFonts w:ascii="Tahoma" w:hAnsi="Tahoma" w:cs="Tahoma"/>
                <w:color w:val="000000"/>
                <w:sz w:val="18"/>
              </w:rPr>
            </w:pPr>
            <w:r w:rsidRPr="00A71EB1">
              <w:rPr>
                <w:rFonts w:ascii="Tahoma" w:hAnsi="Tahoma" w:cs="Tahoma"/>
                <w:color w:val="000000"/>
                <w:sz w:val="18"/>
              </w:rPr>
              <w:t>Akceptováno dodavatelem:</w:t>
            </w:r>
          </w:p>
          <w:p w14:paraId="58B5B977" w14:textId="5C89B5FA" w:rsidR="00A71EB1" w:rsidRDefault="00A71EB1" w:rsidP="00A71EB1">
            <w:pPr>
              <w:spacing w:line="240" w:lineRule="auto"/>
              <w:rPr>
                <w:rFonts w:ascii="Tahoma" w:hAnsi="Tahoma" w:cs="Tahoma"/>
                <w:color w:val="000000"/>
                <w:sz w:val="18"/>
              </w:rPr>
            </w:pPr>
            <w:r w:rsidRPr="00A71EB1">
              <w:rPr>
                <w:rFonts w:ascii="Tahoma" w:hAnsi="Tahoma" w:cs="Tahoma"/>
                <w:color w:val="000000"/>
                <w:sz w:val="18"/>
              </w:rPr>
              <w:t>RNDr. Mgr. Vojtěch Nosek, Ph.D.</w:t>
            </w:r>
            <w:r>
              <w:rPr>
                <w:rFonts w:ascii="Tahoma" w:hAnsi="Tahoma" w:cs="Tahoma"/>
                <w:color w:val="000000"/>
                <w:sz w:val="18"/>
              </w:rPr>
              <w:br/>
              <w:t>j</w:t>
            </w:r>
            <w:r w:rsidRPr="00A71EB1">
              <w:rPr>
                <w:rFonts w:ascii="Tahoma" w:hAnsi="Tahoma" w:cs="Tahoma"/>
                <w:color w:val="000000"/>
                <w:sz w:val="18"/>
              </w:rPr>
              <w:t>ednatel UNICO.Advisory s.r.o.</w:t>
            </w:r>
          </w:p>
          <w:p w14:paraId="78DFBEA7" w14:textId="310F3B3B" w:rsidR="009324B4" w:rsidRPr="00A71EB1" w:rsidRDefault="009324B4" w:rsidP="00A71EB1">
            <w:pPr>
              <w:spacing w:line="240" w:lineRule="auto"/>
              <w:rPr>
                <w:rFonts w:ascii="Tahoma" w:hAnsi="Tahoma" w:cs="Tahoma"/>
                <w:color w:val="000000"/>
                <w:sz w:val="18"/>
              </w:rPr>
            </w:pPr>
            <w:r>
              <w:rPr>
                <w:rFonts w:ascii="Tahoma" w:hAnsi="Tahoma" w:cs="Tahoma"/>
                <w:color w:val="000000"/>
                <w:sz w:val="18"/>
              </w:rPr>
              <w:t>25/6/2024</w:t>
            </w:r>
          </w:p>
          <w:p w14:paraId="4E98EEDC" w14:textId="77777777" w:rsidR="00A71EB1" w:rsidRPr="00A71EB1" w:rsidRDefault="00A71EB1" w:rsidP="00A71EB1">
            <w:pPr>
              <w:spacing w:line="240" w:lineRule="auto"/>
              <w:rPr>
                <w:rFonts w:ascii="Tahoma" w:hAnsi="Tahoma" w:cs="Tahoma"/>
                <w:color w:val="000000"/>
                <w:sz w:val="18"/>
              </w:rPr>
            </w:pPr>
          </w:p>
          <w:p w14:paraId="78C97E5F" w14:textId="77777777" w:rsidR="00A71EB1" w:rsidRPr="00A71EB1" w:rsidRDefault="00A71EB1" w:rsidP="00A71EB1">
            <w:pPr>
              <w:spacing w:line="240" w:lineRule="auto"/>
              <w:ind w:left="4430"/>
              <w:rPr>
                <w:rFonts w:ascii="Tahoma" w:hAnsi="Tahoma" w:cs="Tahoma"/>
                <w:color w:val="000000"/>
                <w:sz w:val="18"/>
              </w:rPr>
            </w:pPr>
          </w:p>
        </w:tc>
        <w:tc>
          <w:tcPr>
            <w:tcW w:w="4842" w:type="dxa"/>
            <w:gridSpan w:val="4"/>
            <w:tcBorders>
              <w:top w:val="single" w:sz="4" w:space="0" w:color="auto"/>
              <w:left w:val="double" w:sz="4" w:space="0" w:color="auto"/>
              <w:bottom w:val="double" w:sz="4" w:space="0" w:color="auto"/>
              <w:right w:val="double" w:sz="4" w:space="0" w:color="auto"/>
            </w:tcBorders>
          </w:tcPr>
          <w:p w14:paraId="6F81549A" w14:textId="77777777" w:rsidR="00A71EB1" w:rsidRDefault="00A71EB1" w:rsidP="00A71EB1">
            <w:pPr>
              <w:spacing w:line="240" w:lineRule="auto"/>
              <w:rPr>
                <w:rFonts w:ascii="Tahoma" w:hAnsi="Tahoma" w:cs="Tahoma"/>
                <w:color w:val="000000"/>
                <w:sz w:val="18"/>
              </w:rPr>
            </w:pPr>
            <w:r w:rsidRPr="00A71EB1">
              <w:rPr>
                <w:rFonts w:ascii="Tahoma" w:hAnsi="Tahoma" w:cs="Tahoma"/>
                <w:color w:val="000000"/>
                <w:sz w:val="18"/>
              </w:rPr>
              <w:t>Za odběratele:</w:t>
            </w:r>
            <w:r w:rsidRPr="00A71EB1">
              <w:rPr>
                <w:rFonts w:ascii="Tahoma" w:hAnsi="Tahoma" w:cs="Tahoma"/>
                <w:color w:val="000000"/>
                <w:sz w:val="18"/>
              </w:rPr>
              <w:br/>
              <w:t xml:space="preserve">                                                                                                            </w:t>
            </w:r>
            <w:r w:rsidRPr="00A71EB1">
              <w:rPr>
                <w:rFonts w:ascii="Tahoma" w:hAnsi="Tahoma" w:cs="Tahoma"/>
                <w:sz w:val="18"/>
              </w:rPr>
              <w:t>Mgr. et Mgr. Vendula Hájková</w:t>
            </w:r>
            <w:r w:rsidRPr="00A71EB1">
              <w:rPr>
                <w:rFonts w:ascii="Tahoma" w:hAnsi="Tahoma" w:cs="Tahoma"/>
                <w:color w:val="000000"/>
                <w:sz w:val="18"/>
              </w:rPr>
              <w:t xml:space="preserve"> MBA                                                                                       ředitelka CIRI</w:t>
            </w:r>
          </w:p>
          <w:p w14:paraId="7F1ADD26" w14:textId="0927D2B1" w:rsidR="009324B4" w:rsidRPr="00A71EB1" w:rsidRDefault="009324B4" w:rsidP="00A71EB1">
            <w:pPr>
              <w:spacing w:line="240" w:lineRule="auto"/>
              <w:rPr>
                <w:rFonts w:ascii="Tahoma" w:hAnsi="Tahoma" w:cs="Tahoma"/>
                <w:color w:val="000000"/>
                <w:sz w:val="18"/>
              </w:rPr>
            </w:pPr>
            <w:r>
              <w:rPr>
                <w:rFonts w:ascii="Tahoma" w:hAnsi="Tahoma" w:cs="Tahoma"/>
                <w:color w:val="000000"/>
                <w:sz w:val="18"/>
              </w:rPr>
              <w:t>25/6/2024</w:t>
            </w:r>
          </w:p>
        </w:tc>
      </w:tr>
    </w:tbl>
    <w:p w14:paraId="5E66E943" w14:textId="77777777" w:rsidR="007E10B1" w:rsidRDefault="007E10B1">
      <w:pPr>
        <w:rPr>
          <w:b/>
          <w:bCs/>
          <w:sz w:val="20"/>
          <w:szCs w:val="20"/>
        </w:rPr>
      </w:pPr>
      <w:r>
        <w:rPr>
          <w:b/>
          <w:bCs/>
          <w:sz w:val="20"/>
          <w:szCs w:val="20"/>
        </w:rPr>
        <w:br w:type="page"/>
      </w:r>
    </w:p>
    <w:p w14:paraId="2C086342" w14:textId="4D05464D" w:rsidR="009E76A1" w:rsidRPr="001956FF" w:rsidRDefault="009E76A1" w:rsidP="009E76A1">
      <w:pPr>
        <w:jc w:val="center"/>
        <w:rPr>
          <w:b/>
          <w:bCs/>
          <w:sz w:val="20"/>
          <w:szCs w:val="20"/>
        </w:rPr>
      </w:pPr>
      <w:r w:rsidRPr="001956FF">
        <w:rPr>
          <w:b/>
          <w:bCs/>
          <w:sz w:val="20"/>
          <w:szCs w:val="20"/>
        </w:rPr>
        <w:lastRenderedPageBreak/>
        <w:t>Všeobecné obchodní podmínky</w:t>
      </w:r>
    </w:p>
    <w:p w14:paraId="5E352C8A" w14:textId="77777777" w:rsidR="009E76A1" w:rsidRPr="001956FF" w:rsidRDefault="009E76A1" w:rsidP="009E76A1">
      <w:pPr>
        <w:jc w:val="center"/>
        <w:rPr>
          <w:b/>
          <w:bCs/>
          <w:sz w:val="20"/>
          <w:szCs w:val="20"/>
        </w:rPr>
      </w:pPr>
    </w:p>
    <w:p w14:paraId="374E1ADF" w14:textId="77777777" w:rsidR="009E76A1" w:rsidRPr="001956FF" w:rsidRDefault="009E76A1" w:rsidP="001956FF">
      <w:pPr>
        <w:ind w:firstLine="708"/>
        <w:rPr>
          <w:b/>
          <w:bCs/>
          <w:sz w:val="20"/>
          <w:szCs w:val="20"/>
        </w:rPr>
      </w:pPr>
      <w:r w:rsidRPr="001956FF">
        <w:rPr>
          <w:b/>
          <w:bCs/>
          <w:sz w:val="20"/>
          <w:szCs w:val="20"/>
        </w:rPr>
        <w:t xml:space="preserve">I. Úvodní ustanovení </w:t>
      </w:r>
    </w:p>
    <w:p w14:paraId="54AF99D5" w14:textId="5FA5C129" w:rsidR="009E76A1" w:rsidRPr="001956FF" w:rsidRDefault="009E76A1" w:rsidP="007E10B1">
      <w:pPr>
        <w:jc w:val="both"/>
        <w:rPr>
          <w:sz w:val="20"/>
          <w:szCs w:val="20"/>
        </w:rPr>
      </w:pPr>
      <w:r w:rsidRPr="001956FF">
        <w:rPr>
          <w:sz w:val="20"/>
          <w:szCs w:val="20"/>
        </w:rPr>
        <w:t xml:space="preserve">1. Odběratel má zájem na realizaci </w:t>
      </w:r>
      <w:r w:rsidR="0075247E" w:rsidRPr="001956FF">
        <w:rPr>
          <w:b/>
          <w:bCs/>
          <w:sz w:val="20"/>
          <w:szCs w:val="20"/>
        </w:rPr>
        <w:t>nákupu přístupu do mezinárodních databází pro sledování vývoje a technologický</w:t>
      </w:r>
      <w:r w:rsidR="00C70601">
        <w:rPr>
          <w:b/>
          <w:bCs/>
          <w:sz w:val="20"/>
          <w:szCs w:val="20"/>
        </w:rPr>
        <w:t>ch</w:t>
      </w:r>
      <w:r w:rsidR="0075247E" w:rsidRPr="001956FF">
        <w:rPr>
          <w:b/>
          <w:bCs/>
          <w:sz w:val="20"/>
          <w:szCs w:val="20"/>
        </w:rPr>
        <w:t xml:space="preserve"> trendů</w:t>
      </w:r>
      <w:r w:rsidRPr="001956FF">
        <w:rPr>
          <w:sz w:val="20"/>
          <w:szCs w:val="20"/>
        </w:rPr>
        <w:t xml:space="preserve"> (dále také jen „</w:t>
      </w:r>
      <w:r w:rsidR="0075247E" w:rsidRPr="001956FF">
        <w:rPr>
          <w:b/>
          <w:bCs/>
          <w:sz w:val="20"/>
          <w:szCs w:val="20"/>
        </w:rPr>
        <w:t>sledování vývoje a technologických trendů</w:t>
      </w:r>
      <w:r w:rsidRPr="001956FF">
        <w:rPr>
          <w:sz w:val="20"/>
          <w:szCs w:val="20"/>
        </w:rPr>
        <w:t xml:space="preserve">“) </w:t>
      </w:r>
      <w:r w:rsidRPr="001956FF">
        <w:rPr>
          <w:b/>
          <w:bCs/>
          <w:sz w:val="20"/>
          <w:szCs w:val="20"/>
        </w:rPr>
        <w:t>zaměřených na Královéhradeck</w:t>
      </w:r>
      <w:r w:rsidR="0075247E" w:rsidRPr="001956FF">
        <w:rPr>
          <w:b/>
          <w:bCs/>
          <w:sz w:val="20"/>
          <w:szCs w:val="20"/>
        </w:rPr>
        <w:t>ý</w:t>
      </w:r>
      <w:r w:rsidRPr="001956FF">
        <w:rPr>
          <w:b/>
          <w:bCs/>
          <w:sz w:val="20"/>
          <w:szCs w:val="20"/>
        </w:rPr>
        <w:t xml:space="preserve"> kraj</w:t>
      </w:r>
      <w:r w:rsidR="0075247E" w:rsidRPr="001956FF">
        <w:rPr>
          <w:b/>
          <w:bCs/>
          <w:sz w:val="20"/>
          <w:szCs w:val="20"/>
        </w:rPr>
        <w:t xml:space="preserve"> v kontextu </w:t>
      </w:r>
      <w:r w:rsidR="003D6354" w:rsidRPr="001956FF">
        <w:rPr>
          <w:b/>
          <w:bCs/>
          <w:sz w:val="20"/>
          <w:szCs w:val="20"/>
        </w:rPr>
        <w:t>světové ekonomiky</w:t>
      </w:r>
      <w:r w:rsidR="003D6354" w:rsidRPr="001956FF">
        <w:rPr>
          <w:sz w:val="20"/>
          <w:szCs w:val="20"/>
        </w:rPr>
        <w:t>, a to</w:t>
      </w:r>
      <w:r w:rsidRPr="001956FF">
        <w:rPr>
          <w:sz w:val="20"/>
          <w:szCs w:val="20"/>
        </w:rPr>
        <w:t xml:space="preserve"> v rozsahu a za podmínek stanovených objednávkou č.</w:t>
      </w:r>
      <w:r w:rsidRPr="001956FF">
        <w:rPr>
          <w:b/>
          <w:bCs/>
          <w:sz w:val="20"/>
          <w:szCs w:val="20"/>
        </w:rPr>
        <w:t>202</w:t>
      </w:r>
      <w:r w:rsidR="003D6354" w:rsidRPr="001956FF">
        <w:rPr>
          <w:b/>
          <w:bCs/>
          <w:sz w:val="20"/>
          <w:szCs w:val="20"/>
        </w:rPr>
        <w:t>4</w:t>
      </w:r>
      <w:r w:rsidRPr="001956FF">
        <w:rPr>
          <w:b/>
          <w:bCs/>
          <w:sz w:val="20"/>
          <w:szCs w:val="20"/>
        </w:rPr>
        <w:t>/</w:t>
      </w:r>
      <w:r w:rsidR="00A71EB1">
        <w:rPr>
          <w:b/>
          <w:bCs/>
          <w:sz w:val="20"/>
          <w:szCs w:val="20"/>
        </w:rPr>
        <w:t xml:space="preserve">250 </w:t>
      </w:r>
      <w:r w:rsidRPr="001956FF">
        <w:rPr>
          <w:sz w:val="20"/>
          <w:szCs w:val="20"/>
        </w:rPr>
        <w:t xml:space="preserve">dále jen „objednávka“) a těmito všeobecnými obchodními podmínkami, zejména specifikací díla dle čl. II podmínek. </w:t>
      </w:r>
    </w:p>
    <w:p w14:paraId="69289F7A" w14:textId="567B07A0" w:rsidR="009E76A1" w:rsidRPr="001956FF" w:rsidRDefault="009E76A1" w:rsidP="007E10B1">
      <w:pPr>
        <w:jc w:val="both"/>
        <w:rPr>
          <w:sz w:val="20"/>
          <w:szCs w:val="20"/>
        </w:rPr>
      </w:pPr>
      <w:r w:rsidRPr="001956FF">
        <w:rPr>
          <w:sz w:val="20"/>
          <w:szCs w:val="20"/>
        </w:rPr>
        <w:t xml:space="preserve">2. Dodavatel prohlašuje, že je způsobilý k řádnému a včasnému provedení díla, že disponuje takovými kapacitami a odbornými znalostmi, které jsou třeba k řádnému zhotovení díla, že se seznámil s rozsahem a povahou díla, že jsou mu známy veškeré technické, kvalitativní a jiné podmínky nezbytné k realizaci díla. Pokud některé práce na sjednaném díle zajistí prostřednictvím třetích osob, odpovídá za kvalitu prací a dodávky, jako by dílo prováděl sám. </w:t>
      </w:r>
    </w:p>
    <w:p w14:paraId="649F04C5" w14:textId="72AB5187" w:rsidR="009E76A1" w:rsidRPr="001956FF" w:rsidRDefault="009E76A1" w:rsidP="007E10B1">
      <w:pPr>
        <w:jc w:val="both"/>
        <w:rPr>
          <w:sz w:val="20"/>
          <w:szCs w:val="20"/>
        </w:rPr>
      </w:pPr>
      <w:r w:rsidRPr="001956FF">
        <w:rPr>
          <w:sz w:val="20"/>
          <w:szCs w:val="20"/>
        </w:rPr>
        <w:t xml:space="preserve">3. </w:t>
      </w:r>
      <w:r w:rsidR="00A71EB1" w:rsidRPr="00A71EB1">
        <w:rPr>
          <w:sz w:val="20"/>
          <w:szCs w:val="20"/>
        </w:rPr>
        <w:t xml:space="preserve">Kontaktní osobou ze strany dodavatele ve věcech smluvních, vyplývající z plnění této objednávky: Vojtěch Nosek, e-mail: </w:t>
      </w:r>
      <w:r w:rsidR="00D77C2A">
        <w:rPr>
          <w:sz w:val="20"/>
          <w:szCs w:val="20"/>
        </w:rPr>
        <w:t>anonymizováno</w:t>
      </w:r>
      <w:r w:rsidR="00A71EB1" w:rsidRPr="00A71EB1">
        <w:rPr>
          <w:sz w:val="20"/>
          <w:szCs w:val="20"/>
        </w:rPr>
        <w:t xml:space="preserve"> a kontaktní osobou ze strany dodavatele ve věcech realizačních, vyplývající z plnění této objednávky: Vojtěch Kadlec, e-mail: </w:t>
      </w:r>
      <w:r w:rsidR="00D77C2A">
        <w:rPr>
          <w:sz w:val="20"/>
          <w:szCs w:val="20"/>
        </w:rPr>
        <w:t>anonymizováno</w:t>
      </w:r>
      <w:r w:rsidR="00A71EB1" w:rsidRPr="00A71EB1">
        <w:rPr>
          <w:sz w:val="20"/>
          <w:szCs w:val="20"/>
        </w:rPr>
        <w:t>,</w:t>
      </w:r>
    </w:p>
    <w:p w14:paraId="6FD093F0" w14:textId="139F5D0E" w:rsidR="009E76A1" w:rsidRPr="001956FF" w:rsidRDefault="009E76A1" w:rsidP="00A71EB1">
      <w:pPr>
        <w:jc w:val="both"/>
        <w:rPr>
          <w:sz w:val="20"/>
          <w:szCs w:val="20"/>
        </w:rPr>
      </w:pPr>
      <w:r w:rsidRPr="001956FF">
        <w:rPr>
          <w:sz w:val="20"/>
          <w:szCs w:val="20"/>
        </w:rPr>
        <w:t xml:space="preserve">4. </w:t>
      </w:r>
      <w:r w:rsidR="00A71EB1" w:rsidRPr="00A71EB1">
        <w:rPr>
          <w:sz w:val="20"/>
          <w:szCs w:val="20"/>
        </w:rPr>
        <w:t xml:space="preserve">kontaktní osobou ze strany odběratele ve věcech smluvních, vyplývající z plnění této objednávky: Vendula Hájková, e-mail: </w:t>
      </w:r>
      <w:r w:rsidR="00D77C2A">
        <w:rPr>
          <w:sz w:val="20"/>
          <w:szCs w:val="20"/>
        </w:rPr>
        <w:t>anonymizováno</w:t>
      </w:r>
      <w:r w:rsidR="00A71EB1" w:rsidRPr="00A71EB1">
        <w:rPr>
          <w:sz w:val="20"/>
          <w:szCs w:val="20"/>
        </w:rPr>
        <w:t xml:space="preserve"> a kontaktní osobou ze strany odběratele ve věcech realizačních, vyplývajících z plnění této objednávky: </w:t>
      </w:r>
      <w:r w:rsidR="00D77C2A">
        <w:rPr>
          <w:sz w:val="20"/>
          <w:szCs w:val="20"/>
        </w:rPr>
        <w:t>anonymizováno</w:t>
      </w:r>
      <w:r w:rsidR="00A71EB1" w:rsidRPr="00A71EB1">
        <w:rPr>
          <w:sz w:val="20"/>
          <w:szCs w:val="20"/>
        </w:rPr>
        <w:t xml:space="preserve">, e-mail: </w:t>
      </w:r>
      <w:r w:rsidR="00D77C2A">
        <w:rPr>
          <w:sz w:val="20"/>
          <w:szCs w:val="20"/>
        </w:rPr>
        <w:t>anonymizováno</w:t>
      </w:r>
      <w:r w:rsidR="00A71EB1" w:rsidRPr="00A71EB1">
        <w:rPr>
          <w:sz w:val="20"/>
          <w:szCs w:val="20"/>
        </w:rPr>
        <w:t>.</w:t>
      </w:r>
      <w:r w:rsidR="00A71EB1">
        <w:br/>
      </w:r>
      <w:r w:rsidR="00A71EB1">
        <w:br/>
      </w:r>
      <w:r w:rsidRPr="001956FF">
        <w:rPr>
          <w:sz w:val="20"/>
          <w:szCs w:val="20"/>
        </w:rPr>
        <w:t xml:space="preserve">5. Osoby uvedené v čl. 1 odst. 3 a 4 těchto podmínek nemohou uzavírat dodatky a jinak měnit smluvní podmínky. </w:t>
      </w:r>
    </w:p>
    <w:p w14:paraId="32DA4B19" w14:textId="77777777" w:rsidR="009E76A1" w:rsidRPr="001956FF" w:rsidRDefault="009E76A1" w:rsidP="007E10B1">
      <w:pPr>
        <w:ind w:firstLine="708"/>
        <w:jc w:val="both"/>
        <w:rPr>
          <w:b/>
          <w:bCs/>
          <w:sz w:val="20"/>
          <w:szCs w:val="20"/>
        </w:rPr>
      </w:pPr>
      <w:r w:rsidRPr="001956FF">
        <w:rPr>
          <w:b/>
          <w:bCs/>
          <w:sz w:val="20"/>
          <w:szCs w:val="20"/>
        </w:rPr>
        <w:t xml:space="preserve">II. Předmět objednávky a doba a místo plnění </w:t>
      </w:r>
    </w:p>
    <w:p w14:paraId="6E77D959" w14:textId="77777777" w:rsidR="009E76A1" w:rsidRPr="001956FF" w:rsidRDefault="009E76A1" w:rsidP="007E10B1">
      <w:pPr>
        <w:jc w:val="both"/>
        <w:rPr>
          <w:sz w:val="20"/>
          <w:szCs w:val="20"/>
        </w:rPr>
      </w:pPr>
      <w:r w:rsidRPr="001956FF">
        <w:rPr>
          <w:sz w:val="20"/>
          <w:szCs w:val="20"/>
        </w:rPr>
        <w:t xml:space="preserve">1. Předmětem objednávky je závazek dodavatele svým jménem a na svůj náklad a odpovědnost ve sjednaných termínech zajistit a dokončit dílo specifikované objednávkou včetně těchto smluvních podmínek (dále také jen „dílo“). </w:t>
      </w:r>
    </w:p>
    <w:p w14:paraId="7AADF98C" w14:textId="3DA5CEF3" w:rsidR="009E76A1" w:rsidRPr="001956FF" w:rsidRDefault="009E76A1" w:rsidP="007E10B1">
      <w:pPr>
        <w:jc w:val="both"/>
        <w:rPr>
          <w:sz w:val="20"/>
          <w:szCs w:val="20"/>
        </w:rPr>
      </w:pPr>
      <w:r w:rsidRPr="001956FF">
        <w:rPr>
          <w:sz w:val="20"/>
          <w:szCs w:val="20"/>
        </w:rPr>
        <w:t xml:space="preserve">2. Předmětem díla je realizace </w:t>
      </w:r>
      <w:r w:rsidR="00F20644" w:rsidRPr="001956FF">
        <w:rPr>
          <w:b/>
          <w:bCs/>
          <w:sz w:val="20"/>
          <w:szCs w:val="20"/>
        </w:rPr>
        <w:t>sledování vývoje a technologických trendů</w:t>
      </w:r>
      <w:r w:rsidR="00F20644" w:rsidRPr="001956FF">
        <w:rPr>
          <w:sz w:val="20"/>
          <w:szCs w:val="20"/>
        </w:rPr>
        <w:t xml:space="preserve"> zaměřených na Královéhradecký kraj v kontextu světové ekonomiky.</w:t>
      </w:r>
    </w:p>
    <w:p w14:paraId="1E0DFC22" w14:textId="2E6211A9" w:rsidR="00F20644" w:rsidRPr="001956FF" w:rsidRDefault="009E76A1" w:rsidP="007E10B1">
      <w:pPr>
        <w:jc w:val="both"/>
        <w:rPr>
          <w:sz w:val="20"/>
          <w:szCs w:val="20"/>
        </w:rPr>
      </w:pPr>
      <w:r w:rsidRPr="001956FF">
        <w:rPr>
          <w:sz w:val="20"/>
          <w:szCs w:val="20"/>
        </w:rPr>
        <w:t xml:space="preserve">3. </w:t>
      </w:r>
      <w:r w:rsidR="00F20644" w:rsidRPr="001956FF">
        <w:rPr>
          <w:sz w:val="20"/>
          <w:szCs w:val="20"/>
        </w:rPr>
        <w:t xml:space="preserve">Řešením předmětu bude </w:t>
      </w:r>
      <w:r w:rsidR="00F20644" w:rsidRPr="001956FF">
        <w:rPr>
          <w:b/>
          <w:bCs/>
          <w:sz w:val="20"/>
          <w:szCs w:val="20"/>
        </w:rPr>
        <w:t xml:space="preserve">roční přístup do databáze patentů, analýza 3 klíčových technologických trendů v doménách specializace, </w:t>
      </w:r>
      <w:r w:rsidR="00B82408" w:rsidRPr="001956FF">
        <w:rPr>
          <w:b/>
          <w:bCs/>
          <w:sz w:val="20"/>
          <w:szCs w:val="20"/>
        </w:rPr>
        <w:t xml:space="preserve">návrh </w:t>
      </w:r>
      <w:r w:rsidR="00F20644" w:rsidRPr="001956FF">
        <w:rPr>
          <w:b/>
          <w:bCs/>
          <w:sz w:val="20"/>
          <w:szCs w:val="20"/>
        </w:rPr>
        <w:t>online dotazníkové</w:t>
      </w:r>
      <w:r w:rsidR="00B82408" w:rsidRPr="001956FF">
        <w:rPr>
          <w:b/>
          <w:bCs/>
          <w:sz w:val="20"/>
          <w:szCs w:val="20"/>
        </w:rPr>
        <w:t>ho</w:t>
      </w:r>
      <w:r w:rsidR="00F20644" w:rsidRPr="001956FF">
        <w:rPr>
          <w:b/>
          <w:bCs/>
          <w:sz w:val="20"/>
          <w:szCs w:val="20"/>
        </w:rPr>
        <w:t xml:space="preserve"> šetření a podklad pro rozhovory ve firmách na téma implementace „udržitelných inovací“</w:t>
      </w:r>
      <w:r w:rsidR="00F20644" w:rsidRPr="001956FF">
        <w:rPr>
          <w:sz w:val="20"/>
          <w:szCs w:val="20"/>
        </w:rPr>
        <w:t>.</w:t>
      </w:r>
    </w:p>
    <w:p w14:paraId="2168DD97" w14:textId="2635E137" w:rsidR="00DD1E61" w:rsidRDefault="009E76A1" w:rsidP="007E10B1">
      <w:pPr>
        <w:pStyle w:val="paragraph"/>
        <w:spacing w:before="0" w:beforeAutospacing="0" w:after="0" w:afterAutospacing="0"/>
        <w:jc w:val="both"/>
        <w:textAlignment w:val="baseline"/>
        <w:rPr>
          <w:rFonts w:asciiTheme="minorHAnsi" w:eastAsiaTheme="minorHAnsi" w:hAnsiTheme="minorHAnsi" w:cstheme="minorBidi"/>
          <w:kern w:val="2"/>
          <w:sz w:val="20"/>
          <w:szCs w:val="20"/>
          <w:lang w:eastAsia="en-US"/>
          <w14:ligatures w14:val="standardContextual"/>
        </w:rPr>
      </w:pPr>
      <w:r w:rsidRPr="001956FF">
        <w:rPr>
          <w:rFonts w:asciiTheme="minorHAnsi" w:eastAsiaTheme="minorHAnsi" w:hAnsiTheme="minorHAnsi" w:cstheme="minorBidi"/>
          <w:kern w:val="2"/>
          <w:sz w:val="20"/>
          <w:szCs w:val="20"/>
          <w:lang w:eastAsia="en-US"/>
          <w14:ligatures w14:val="standardContextual"/>
        </w:rPr>
        <w:t xml:space="preserve">4. </w:t>
      </w:r>
      <w:r w:rsidR="00DD1E61" w:rsidRPr="00DD1E61">
        <w:rPr>
          <w:rFonts w:asciiTheme="minorHAnsi" w:eastAsiaTheme="minorHAnsi" w:hAnsiTheme="minorHAnsi" w:cstheme="minorBidi"/>
          <w:kern w:val="2"/>
          <w:sz w:val="20"/>
          <w:szCs w:val="20"/>
          <w:lang w:eastAsia="en-US"/>
          <w14:ligatures w14:val="standardContextual"/>
        </w:rPr>
        <w:t>Povinnými výstupy budou roční přístup do databáze patentů a základní technologické trendy ve 3 vybraných oborech (vertikálách), návrh online dotazníku na téma Implementace „udržitelných inovací“ ve firmách a návrh podkladu pro rozhovory na téma Implementace „udržitelných inovací“ ve firmách. První fáze předání přístupových údajů do databáze patentů bude předmětem předávacího protokolu. Dále pak bude vytvořen podklad ze strany dodavatele v analytické části exaktně určující jaké technologické trendy jsou v regionu klíčové pro rozvoj vybraných domén specializace.</w:t>
      </w:r>
      <w:r w:rsidR="00DD1E61">
        <w:rPr>
          <w:rFonts w:asciiTheme="minorHAnsi" w:eastAsiaTheme="minorHAnsi" w:hAnsiTheme="minorHAnsi" w:cstheme="minorBidi"/>
          <w:kern w:val="2"/>
          <w:sz w:val="20"/>
          <w:szCs w:val="20"/>
          <w:lang w:eastAsia="en-US"/>
          <w14:ligatures w14:val="standardContextual"/>
        </w:rPr>
        <w:t xml:space="preserve"> </w:t>
      </w:r>
      <w:r w:rsidR="00DD1E61" w:rsidRPr="00DD1E61">
        <w:rPr>
          <w:rFonts w:asciiTheme="minorHAnsi" w:eastAsiaTheme="minorHAnsi" w:hAnsiTheme="minorHAnsi" w:cstheme="minorBidi"/>
          <w:kern w:val="2"/>
          <w:sz w:val="20"/>
          <w:szCs w:val="20"/>
          <w:lang w:eastAsia="en-US"/>
          <w14:ligatures w14:val="standardContextual"/>
        </w:rPr>
        <w:t xml:space="preserve">Tyto výstupy budou odběrateli odprezentovány online/offline dle pokynů odběratele nejpozději do </w:t>
      </w:r>
      <w:r w:rsidR="00DD1E61" w:rsidRPr="00DD1E61">
        <w:rPr>
          <w:rFonts w:asciiTheme="minorHAnsi" w:eastAsiaTheme="minorHAnsi" w:hAnsiTheme="minorHAnsi" w:cstheme="minorBidi"/>
          <w:b/>
          <w:bCs/>
          <w:kern w:val="2"/>
          <w:sz w:val="20"/>
          <w:szCs w:val="20"/>
          <w:lang w:eastAsia="en-US"/>
          <w14:ligatures w14:val="standardContextual"/>
        </w:rPr>
        <w:t>31. 7. 2024</w:t>
      </w:r>
      <w:r w:rsidR="00DD1E61" w:rsidRPr="00DD1E61">
        <w:rPr>
          <w:rFonts w:asciiTheme="minorHAnsi" w:eastAsiaTheme="minorHAnsi" w:hAnsiTheme="minorHAnsi" w:cstheme="minorBidi"/>
          <w:kern w:val="2"/>
          <w:sz w:val="20"/>
          <w:szCs w:val="20"/>
          <w:lang w:eastAsia="en-US"/>
          <w14:ligatures w14:val="standardContextual"/>
        </w:rPr>
        <w:t xml:space="preserve">, a to již s přístupem do databáze patentů a dalších použitých zdrojů, ke kterým bude také podepsán předávací protokol. Po předání proběhne v návrhové části návrh online dotazníku a podklad pro rozhovory aktivního developmentu ve firmách na téma Implementace „udržitelných inovací“, ke kterému bude podepsán finální předávací protokol, přičemž návrhy budou předány nejpozději do </w:t>
      </w:r>
      <w:r w:rsidR="00DD1E61" w:rsidRPr="00DD1E61">
        <w:rPr>
          <w:rFonts w:asciiTheme="minorHAnsi" w:eastAsiaTheme="minorHAnsi" w:hAnsiTheme="minorHAnsi" w:cstheme="minorBidi"/>
          <w:b/>
          <w:bCs/>
          <w:kern w:val="2"/>
          <w:sz w:val="20"/>
          <w:szCs w:val="20"/>
          <w:lang w:eastAsia="en-US"/>
          <w14:ligatures w14:val="standardContextual"/>
        </w:rPr>
        <w:t>30. 8. 2024</w:t>
      </w:r>
      <w:r w:rsidR="00DD1E61" w:rsidRPr="00DD1E61">
        <w:rPr>
          <w:rFonts w:asciiTheme="minorHAnsi" w:eastAsiaTheme="minorHAnsi" w:hAnsiTheme="minorHAnsi" w:cstheme="minorBidi"/>
          <w:kern w:val="2"/>
          <w:sz w:val="20"/>
          <w:szCs w:val="20"/>
          <w:lang w:eastAsia="en-US"/>
          <w14:ligatures w14:val="standardContextual"/>
        </w:rPr>
        <w:t>.</w:t>
      </w:r>
    </w:p>
    <w:p w14:paraId="6117DA31" w14:textId="4F09A892" w:rsidR="00B82408" w:rsidRPr="001956FF" w:rsidRDefault="00B82408" w:rsidP="007E10B1">
      <w:pPr>
        <w:pStyle w:val="paragraph"/>
        <w:spacing w:before="0" w:beforeAutospacing="0" w:after="0" w:afterAutospacing="0"/>
        <w:jc w:val="both"/>
        <w:textAlignment w:val="baseline"/>
        <w:rPr>
          <w:rFonts w:asciiTheme="minorHAnsi" w:eastAsiaTheme="minorHAnsi" w:hAnsiTheme="minorHAnsi" w:cstheme="minorBidi"/>
          <w:kern w:val="2"/>
          <w:sz w:val="20"/>
          <w:szCs w:val="20"/>
          <w:lang w:eastAsia="en-US"/>
          <w14:ligatures w14:val="standardContextual"/>
        </w:rPr>
      </w:pPr>
    </w:p>
    <w:p w14:paraId="3D769DAC" w14:textId="2BDC1D3D" w:rsidR="009E76A1" w:rsidRPr="001956FF" w:rsidRDefault="009E76A1" w:rsidP="007E10B1">
      <w:pPr>
        <w:jc w:val="both"/>
        <w:rPr>
          <w:sz w:val="20"/>
          <w:szCs w:val="20"/>
        </w:rPr>
      </w:pPr>
      <w:r w:rsidRPr="001956FF">
        <w:rPr>
          <w:sz w:val="20"/>
          <w:szCs w:val="20"/>
        </w:rPr>
        <w:t xml:space="preserve">6. Odběratel se zavazuje řádně a včas provedené a dokončené dílo či jeho část převzít a zaplatit za něj dohodnutou cenu, která je specifikována v objednávce a v čl. 3 těchto podmínek. </w:t>
      </w:r>
    </w:p>
    <w:p w14:paraId="2978D782" w14:textId="77777777" w:rsidR="009E76A1" w:rsidRPr="001956FF" w:rsidRDefault="009E76A1" w:rsidP="007E10B1">
      <w:pPr>
        <w:jc w:val="both"/>
        <w:rPr>
          <w:sz w:val="20"/>
          <w:szCs w:val="20"/>
        </w:rPr>
      </w:pPr>
      <w:r w:rsidRPr="001956FF">
        <w:rPr>
          <w:sz w:val="20"/>
          <w:szCs w:val="20"/>
        </w:rPr>
        <w:lastRenderedPageBreak/>
        <w:t xml:space="preserve">7. Předmět díla bude realizován v souladu s požadavky odběratele dle této smlouvy, s platnými právními předpisy a případně dalšími podklady poskytnutými dodavateli odběratelem. </w:t>
      </w:r>
    </w:p>
    <w:p w14:paraId="7124F810" w14:textId="7AFAFA26" w:rsidR="009E76A1" w:rsidRPr="001956FF" w:rsidRDefault="009E76A1" w:rsidP="007E10B1">
      <w:pPr>
        <w:jc w:val="both"/>
        <w:rPr>
          <w:sz w:val="20"/>
          <w:szCs w:val="20"/>
        </w:rPr>
      </w:pPr>
      <w:r w:rsidRPr="001956FF">
        <w:rPr>
          <w:sz w:val="20"/>
          <w:szCs w:val="20"/>
        </w:rPr>
        <w:t xml:space="preserve">8. Místem plnění je-li to možné dle </w:t>
      </w:r>
      <w:r w:rsidR="00B03D70">
        <w:rPr>
          <w:sz w:val="20"/>
          <w:szCs w:val="20"/>
        </w:rPr>
        <w:t xml:space="preserve">této objednávky </w:t>
      </w:r>
      <w:r w:rsidRPr="001956FF">
        <w:rPr>
          <w:sz w:val="20"/>
          <w:szCs w:val="20"/>
        </w:rPr>
        <w:t xml:space="preserve">je sídlo odběratele. </w:t>
      </w:r>
    </w:p>
    <w:p w14:paraId="5EE2F410" w14:textId="77777777" w:rsidR="009E76A1" w:rsidRPr="001956FF" w:rsidRDefault="009E76A1" w:rsidP="007E10B1">
      <w:pPr>
        <w:ind w:firstLine="708"/>
        <w:jc w:val="both"/>
        <w:rPr>
          <w:b/>
          <w:bCs/>
          <w:sz w:val="20"/>
          <w:szCs w:val="20"/>
        </w:rPr>
      </w:pPr>
      <w:r w:rsidRPr="001956FF">
        <w:rPr>
          <w:b/>
          <w:bCs/>
          <w:sz w:val="20"/>
          <w:szCs w:val="20"/>
        </w:rPr>
        <w:t xml:space="preserve">III. Cena díla a platební podmínky </w:t>
      </w:r>
    </w:p>
    <w:p w14:paraId="4ECC5EEA" w14:textId="2266E64B" w:rsidR="009E76A1" w:rsidRPr="001956FF" w:rsidRDefault="009E76A1" w:rsidP="007E10B1">
      <w:pPr>
        <w:jc w:val="both"/>
        <w:rPr>
          <w:sz w:val="20"/>
          <w:szCs w:val="20"/>
        </w:rPr>
      </w:pPr>
      <w:r w:rsidRPr="001956FF">
        <w:rPr>
          <w:sz w:val="20"/>
          <w:szCs w:val="20"/>
        </w:rPr>
        <w:t xml:space="preserve">1. Cena uvedená v objednávce je cena za realizaci předmětu díla v celém rozsahu plnění a je sjednána jako pevná a nejvýše přípustná. Cena díla obsahuje úhradu za realizaci celého díla dle objednávky a čl. 2 těchto podmínek. </w:t>
      </w:r>
    </w:p>
    <w:p w14:paraId="7C29EF9C" w14:textId="77777777" w:rsidR="009E76A1" w:rsidRPr="001956FF" w:rsidRDefault="009E76A1" w:rsidP="007E10B1">
      <w:pPr>
        <w:jc w:val="both"/>
        <w:rPr>
          <w:sz w:val="20"/>
          <w:szCs w:val="20"/>
        </w:rPr>
      </w:pPr>
      <w:r w:rsidRPr="001956FF">
        <w:rPr>
          <w:sz w:val="20"/>
          <w:szCs w:val="20"/>
        </w:rPr>
        <w:t xml:space="preserve">2. Dohodnutá maximální cena zahrnuje v celém rozsahu veškeré práce a náklady dodavatele spojené s řádným provedením (přípravou a provedením) díla dle této smlouvy, včetně jakýchkoliv dalších výdajů spojených s prováděním díla včetně autorské odměny. Cena za provedení díla nebude po dobu do ukončení díla předmětem zvýšení, pokud tato smlouva výslovně nestanoví jinak. </w:t>
      </w:r>
    </w:p>
    <w:p w14:paraId="7146DFFD" w14:textId="1AA3464C" w:rsidR="009E76A1" w:rsidRPr="001956FF" w:rsidRDefault="009E76A1" w:rsidP="007E10B1">
      <w:pPr>
        <w:jc w:val="both"/>
        <w:rPr>
          <w:sz w:val="20"/>
          <w:szCs w:val="20"/>
        </w:rPr>
      </w:pPr>
      <w:r w:rsidRPr="001956FF">
        <w:rPr>
          <w:sz w:val="20"/>
          <w:szCs w:val="20"/>
        </w:rPr>
        <w:t xml:space="preserve">3. Změna dohodnuté ceny je možná pouze v případě, že dojde ke změnám zákonných sazeb DPH. Úprava se mimo případů změn DPH provede písemným dodatkem k této smlouvě.  </w:t>
      </w:r>
    </w:p>
    <w:p w14:paraId="2E13149D" w14:textId="5040152C" w:rsidR="009E76A1" w:rsidRPr="001956FF" w:rsidRDefault="009E76A1" w:rsidP="007E10B1">
      <w:pPr>
        <w:jc w:val="both"/>
        <w:rPr>
          <w:sz w:val="20"/>
          <w:szCs w:val="20"/>
        </w:rPr>
      </w:pPr>
      <w:r w:rsidRPr="001956FF">
        <w:rPr>
          <w:sz w:val="20"/>
          <w:szCs w:val="20"/>
        </w:rPr>
        <w:t xml:space="preserve">5. </w:t>
      </w:r>
      <w:r w:rsidR="00DD1E61" w:rsidRPr="00DD1E61">
        <w:rPr>
          <w:sz w:val="20"/>
          <w:szCs w:val="20"/>
        </w:rPr>
        <w:t xml:space="preserve">Celková cena plnění v Kč včetně DPH uvedená v objednávce bude dodavateli uhrazena ve formě zálohové faktury z 50% hodnoty díla po předání a akceptaci vstupů do databáze patentů. Dále pak proběhne doplatek ve formě konečné faktury zbylých 50 % celého díla na základě </w:t>
      </w:r>
      <w:r w:rsidR="00DD1E61" w:rsidRPr="00DD1E61">
        <w:rPr>
          <w:b/>
          <w:bCs/>
          <w:sz w:val="20"/>
          <w:szCs w:val="20"/>
        </w:rPr>
        <w:t>předávacích protokolů, ze kterých bude jasně patrné, že odběratel dílo akceptuje.</w:t>
      </w:r>
    </w:p>
    <w:p w14:paraId="09E2F3E4" w14:textId="3CEE2075" w:rsidR="009E76A1" w:rsidRPr="001956FF" w:rsidRDefault="009E76A1" w:rsidP="007E10B1">
      <w:pPr>
        <w:jc w:val="both"/>
        <w:rPr>
          <w:sz w:val="20"/>
          <w:szCs w:val="20"/>
        </w:rPr>
      </w:pPr>
      <w:r w:rsidRPr="001956FF">
        <w:rPr>
          <w:sz w:val="20"/>
          <w:szCs w:val="20"/>
        </w:rPr>
        <w:t xml:space="preserve">6. Faktury budou mít náležitosti daňového dokladu v souladu s právními předpisy. </w:t>
      </w:r>
      <w:r w:rsidR="00B82408" w:rsidRPr="001956FF">
        <w:rPr>
          <w:sz w:val="20"/>
          <w:szCs w:val="20"/>
        </w:rPr>
        <w:t>F</w:t>
      </w:r>
      <w:r w:rsidRPr="001956FF">
        <w:rPr>
          <w:sz w:val="20"/>
          <w:szCs w:val="20"/>
        </w:rPr>
        <w:t xml:space="preserve">aktura bude mít splatnost stanovenou na </w:t>
      </w:r>
      <w:r w:rsidRPr="001956FF">
        <w:rPr>
          <w:b/>
          <w:bCs/>
          <w:sz w:val="20"/>
          <w:szCs w:val="20"/>
        </w:rPr>
        <w:t>30 dní</w:t>
      </w:r>
      <w:r w:rsidRPr="001956FF">
        <w:rPr>
          <w:sz w:val="20"/>
          <w:szCs w:val="20"/>
        </w:rPr>
        <w:t xml:space="preserve"> od doručení odběrateli. V případě, že faktury nebudou obsahovat náležitosti daňového dokladu nebo další stanovené náležitosti, odběratel je oprávněn vrátit je dodavateli na doplnění. V takovém případě lhůta splatnosti začne běžet nejdříve až po doručení řádně opravené faktury odběrateli. Konečná faktura bude obsahovat v příloze oboustranně podepsané dílčí předávací protokoly za obě části plnění</w:t>
      </w:r>
      <w:r w:rsidR="00B90E7E" w:rsidRPr="001956FF">
        <w:rPr>
          <w:sz w:val="20"/>
          <w:szCs w:val="20"/>
        </w:rPr>
        <w:t>.</w:t>
      </w:r>
      <w:r w:rsidRPr="001956FF">
        <w:rPr>
          <w:sz w:val="20"/>
          <w:szCs w:val="20"/>
        </w:rPr>
        <w:t xml:space="preserve"> </w:t>
      </w:r>
    </w:p>
    <w:p w14:paraId="420C11CD" w14:textId="5CE70C53" w:rsidR="009E76A1" w:rsidRPr="001956FF" w:rsidRDefault="009E76A1" w:rsidP="007E10B1">
      <w:pPr>
        <w:jc w:val="both"/>
        <w:rPr>
          <w:b/>
          <w:bCs/>
          <w:sz w:val="20"/>
          <w:szCs w:val="20"/>
        </w:rPr>
      </w:pPr>
      <w:r w:rsidRPr="001956FF">
        <w:rPr>
          <w:sz w:val="20"/>
          <w:szCs w:val="20"/>
        </w:rPr>
        <w:t>7. Faktur</w:t>
      </w:r>
      <w:r w:rsidR="007E10B1">
        <w:rPr>
          <w:sz w:val="20"/>
          <w:szCs w:val="20"/>
        </w:rPr>
        <w:t>a</w:t>
      </w:r>
      <w:r w:rsidRPr="001956FF">
        <w:rPr>
          <w:sz w:val="20"/>
          <w:szCs w:val="20"/>
        </w:rPr>
        <w:t xml:space="preserve"> bud</w:t>
      </w:r>
      <w:r w:rsidR="007E10B1">
        <w:rPr>
          <w:sz w:val="20"/>
          <w:szCs w:val="20"/>
        </w:rPr>
        <w:t>e</w:t>
      </w:r>
      <w:r w:rsidRPr="001956FF">
        <w:rPr>
          <w:sz w:val="20"/>
          <w:szCs w:val="20"/>
        </w:rPr>
        <w:t xml:space="preserve"> obsahovat následující informaci: </w:t>
      </w:r>
      <w:r w:rsidR="00B90E7E" w:rsidRPr="001956FF">
        <w:rPr>
          <w:b/>
          <w:bCs/>
          <w:sz w:val="20"/>
          <w:szCs w:val="20"/>
        </w:rPr>
        <w:t>Výdaje budou hrazeny v rámci projektu Smart akcelerátor+ Královéhradeckého kraje I (CZ.02.01.02/00/22_009/0003506)</w:t>
      </w:r>
      <w:r w:rsidRPr="001956FF">
        <w:rPr>
          <w:sz w:val="20"/>
          <w:szCs w:val="20"/>
        </w:rPr>
        <w:t>.</w:t>
      </w:r>
      <w:r w:rsidRPr="001956FF">
        <w:rPr>
          <w:b/>
          <w:bCs/>
          <w:sz w:val="20"/>
          <w:szCs w:val="20"/>
        </w:rPr>
        <w:t xml:space="preserve"> </w:t>
      </w:r>
    </w:p>
    <w:p w14:paraId="4076D03E" w14:textId="77777777" w:rsidR="009E76A1" w:rsidRPr="001956FF" w:rsidRDefault="009E76A1" w:rsidP="007E10B1">
      <w:pPr>
        <w:ind w:firstLine="708"/>
        <w:jc w:val="both"/>
        <w:rPr>
          <w:sz w:val="20"/>
          <w:szCs w:val="20"/>
        </w:rPr>
      </w:pPr>
      <w:r w:rsidRPr="001956FF">
        <w:rPr>
          <w:b/>
          <w:bCs/>
          <w:sz w:val="20"/>
          <w:szCs w:val="20"/>
        </w:rPr>
        <w:t>IV Předání a převzetí díla</w:t>
      </w:r>
      <w:r w:rsidRPr="001956FF">
        <w:rPr>
          <w:sz w:val="20"/>
          <w:szCs w:val="20"/>
        </w:rPr>
        <w:t xml:space="preserve"> </w:t>
      </w:r>
    </w:p>
    <w:p w14:paraId="79A71C2E" w14:textId="5443E7AC" w:rsidR="009E76A1" w:rsidRPr="001956FF" w:rsidRDefault="009E76A1" w:rsidP="007E10B1">
      <w:pPr>
        <w:jc w:val="both"/>
        <w:rPr>
          <w:sz w:val="20"/>
          <w:szCs w:val="20"/>
        </w:rPr>
      </w:pPr>
      <w:r w:rsidRPr="001956FF">
        <w:rPr>
          <w:sz w:val="20"/>
          <w:szCs w:val="20"/>
        </w:rPr>
        <w:t xml:space="preserve">1.Je-li to vzhledem k povaze předmětu plnění respektive jejich dílčím částem možné, bude k převzetí díla vyhotoven písemný protokol. Předávací protokol bude obsahovat popis stavu díla v okamžiku předání, a dále mimo jiné i sdělení, zda k převzetí díla odběratelem dochází bez výhrad, anebo zda s výhradami, přičemž se uvede soupis vad a nedodělků nebránících řádnému užívání předmětu díla spolu s termíny pro jejich odstranění; nedojde-li k dohodě o těchto termínech, pak do 5 pracovních dnů ode dne podpisu předávacího protokolu. </w:t>
      </w:r>
    </w:p>
    <w:p w14:paraId="266D65D5" w14:textId="77777777" w:rsidR="009E76A1" w:rsidRPr="001956FF" w:rsidRDefault="009E76A1" w:rsidP="007E10B1">
      <w:pPr>
        <w:ind w:firstLine="708"/>
        <w:jc w:val="both"/>
        <w:rPr>
          <w:sz w:val="20"/>
          <w:szCs w:val="20"/>
        </w:rPr>
      </w:pPr>
      <w:r w:rsidRPr="001956FF">
        <w:rPr>
          <w:b/>
          <w:bCs/>
          <w:sz w:val="20"/>
          <w:szCs w:val="20"/>
        </w:rPr>
        <w:t>V Ostatní ustanovení</w:t>
      </w:r>
      <w:r w:rsidRPr="001956FF">
        <w:rPr>
          <w:sz w:val="20"/>
          <w:szCs w:val="20"/>
        </w:rPr>
        <w:t xml:space="preserve"> </w:t>
      </w:r>
    </w:p>
    <w:p w14:paraId="62AB083C" w14:textId="1AFAE69A" w:rsidR="009E76A1" w:rsidRPr="001956FF" w:rsidRDefault="009E76A1" w:rsidP="007E10B1">
      <w:pPr>
        <w:jc w:val="both"/>
        <w:rPr>
          <w:sz w:val="20"/>
          <w:szCs w:val="20"/>
        </w:rPr>
      </w:pPr>
      <w:r w:rsidRPr="001956FF">
        <w:rPr>
          <w:sz w:val="20"/>
          <w:szCs w:val="20"/>
        </w:rPr>
        <w:t xml:space="preserve">1. Dodavatel je povinen zachovávat mlčenlivost o osobních údajích, se kterými přijde do styku, informacích a produktech odběratele a je povinen s nimi nakládat jako s informacemi přísně důvěrnými. Tyto informace je dodavatel oprávněn poskytovat a předávat svým zaměstnancům, subdodavatelům nebo médiím pouze v rozsahu nezbytném pro splnění zadané služby. Třetím stranám je odběratel tyto informace poskytnout pouze po předchozím písemném souhlasu odběratele, a to jak v průběhu realizace plnění, tak i po dobu 5 let po jejím skončení. </w:t>
      </w:r>
    </w:p>
    <w:p w14:paraId="6917F4E1" w14:textId="77777777" w:rsidR="009E76A1" w:rsidRPr="001956FF" w:rsidRDefault="009E76A1" w:rsidP="007E10B1">
      <w:pPr>
        <w:jc w:val="both"/>
        <w:rPr>
          <w:sz w:val="20"/>
          <w:szCs w:val="20"/>
        </w:rPr>
      </w:pPr>
      <w:r w:rsidRPr="001956FF">
        <w:rPr>
          <w:sz w:val="20"/>
          <w:szCs w:val="20"/>
        </w:rPr>
        <w:t xml:space="preserve">2. Smluvní strany mohou ukončit smlouvu na základě písemné dohody podepsané oběma smluvními stranami. </w:t>
      </w:r>
    </w:p>
    <w:p w14:paraId="5A0CE62F" w14:textId="77777777" w:rsidR="009E76A1" w:rsidRPr="001956FF" w:rsidRDefault="009E76A1" w:rsidP="007E10B1">
      <w:pPr>
        <w:jc w:val="both"/>
        <w:rPr>
          <w:sz w:val="20"/>
          <w:szCs w:val="20"/>
        </w:rPr>
      </w:pPr>
      <w:r w:rsidRPr="001956FF">
        <w:rPr>
          <w:sz w:val="20"/>
          <w:szCs w:val="20"/>
        </w:rPr>
        <w:t xml:space="preserve">3. Smluvní strany mohou odstoupit od smlouvy z důvodu podstatného porušení smlouvy druhou smluvní stranou. Podstatným porušením smlouvy dodavatelem ve smyslu tohoto ustanovení se vždy rozumí alespoň následující situace: </w:t>
      </w:r>
    </w:p>
    <w:p w14:paraId="386155FE" w14:textId="77777777" w:rsidR="009E76A1" w:rsidRPr="001956FF" w:rsidRDefault="009E76A1" w:rsidP="007E10B1">
      <w:pPr>
        <w:spacing w:line="240" w:lineRule="auto"/>
        <w:jc w:val="both"/>
        <w:rPr>
          <w:sz w:val="20"/>
          <w:szCs w:val="20"/>
        </w:rPr>
      </w:pPr>
      <w:r w:rsidRPr="001956FF">
        <w:rPr>
          <w:sz w:val="20"/>
          <w:szCs w:val="20"/>
        </w:rPr>
        <w:lastRenderedPageBreak/>
        <w:t xml:space="preserve">a) odběratel pozbude způsobilosti k řádné realizaci smlouvy dle právních předpisů; </w:t>
      </w:r>
    </w:p>
    <w:p w14:paraId="14E0BB93" w14:textId="77777777" w:rsidR="009E76A1" w:rsidRPr="001956FF" w:rsidRDefault="009E76A1" w:rsidP="007E10B1">
      <w:pPr>
        <w:spacing w:line="240" w:lineRule="auto"/>
        <w:jc w:val="both"/>
        <w:rPr>
          <w:sz w:val="20"/>
          <w:szCs w:val="20"/>
        </w:rPr>
      </w:pPr>
      <w:r w:rsidRPr="001956FF">
        <w:rPr>
          <w:sz w:val="20"/>
          <w:szCs w:val="20"/>
        </w:rPr>
        <w:t xml:space="preserve">b) odběratel je předlužen nebo vůči němu bylo zahájeno insolvenční řízení; </w:t>
      </w:r>
    </w:p>
    <w:p w14:paraId="734E5E5F" w14:textId="77777777" w:rsidR="009E76A1" w:rsidRPr="001956FF" w:rsidRDefault="009E76A1" w:rsidP="007E10B1">
      <w:pPr>
        <w:spacing w:line="240" w:lineRule="auto"/>
        <w:jc w:val="both"/>
        <w:rPr>
          <w:sz w:val="20"/>
          <w:szCs w:val="20"/>
        </w:rPr>
      </w:pPr>
      <w:r w:rsidRPr="001956FF">
        <w:rPr>
          <w:sz w:val="20"/>
          <w:szCs w:val="20"/>
        </w:rPr>
        <w:t xml:space="preserve">c) odběratel je v prodlení s plněním termínu plnění déle než 10 pracovních dní. </w:t>
      </w:r>
    </w:p>
    <w:p w14:paraId="02FA2E37" w14:textId="77777777" w:rsidR="009E76A1" w:rsidRPr="001956FF" w:rsidRDefault="009E76A1" w:rsidP="007E10B1">
      <w:pPr>
        <w:jc w:val="both"/>
        <w:rPr>
          <w:sz w:val="20"/>
          <w:szCs w:val="20"/>
        </w:rPr>
      </w:pPr>
      <w:r w:rsidRPr="001956FF">
        <w:rPr>
          <w:sz w:val="20"/>
          <w:szCs w:val="20"/>
        </w:rPr>
        <w:t xml:space="preserve">4. Odstoupení od smlouvy je účinné dnem následujícím po doručení písemného odstoupení druhé smluvní straně. </w:t>
      </w:r>
    </w:p>
    <w:p w14:paraId="4686A996" w14:textId="77777777" w:rsidR="003C4F86" w:rsidRPr="001956FF" w:rsidRDefault="009E76A1" w:rsidP="007E10B1">
      <w:pPr>
        <w:jc w:val="both"/>
        <w:rPr>
          <w:sz w:val="20"/>
          <w:szCs w:val="20"/>
        </w:rPr>
      </w:pPr>
      <w:r w:rsidRPr="001956FF">
        <w:rPr>
          <w:sz w:val="20"/>
          <w:szCs w:val="20"/>
        </w:rPr>
        <w:t xml:space="preserve">5. Dodavatel čestně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června 2014, o omezujících opatřeních vzhledem k činnostem Ruska destabilizujícím situaci na Ukrajině, ve znění nařízení Rady (EU) č. 2022/578 ze dne 4. dubna 2022 v souvislosti s konfliktem na Ukrajině nebo v jejich prospěch. Dodavatel se zavazuje, že jakoukoli změnu skutečností, která bude mít vliv na skutečnosti dle tohoto odstavce, dodavatel oznámí písemně odběrateli do 5 pracovních dnů od okamžiku, kdy se o této skutečnosti dozví. </w:t>
      </w:r>
    </w:p>
    <w:p w14:paraId="1600CDE6" w14:textId="77777777" w:rsidR="003C4F86" w:rsidRPr="001956FF" w:rsidRDefault="009E76A1" w:rsidP="007E10B1">
      <w:pPr>
        <w:jc w:val="both"/>
        <w:rPr>
          <w:sz w:val="20"/>
          <w:szCs w:val="20"/>
        </w:rPr>
      </w:pPr>
      <w:r w:rsidRPr="001956FF">
        <w:rPr>
          <w:sz w:val="20"/>
          <w:szCs w:val="20"/>
        </w:rPr>
        <w:t xml:space="preserve">6. Veškerá majetková práva ke všem autorským dílům, vytvořeným pro odběratele na základě této objednávky, náleží dodavateli. Autorská odměna je již zahrnuta v ceně služeb, jejichž poskytnutí je s vytvořením autorského díla spojeno. </w:t>
      </w:r>
    </w:p>
    <w:p w14:paraId="4FE5320A" w14:textId="619FFFD1" w:rsidR="003C4F86" w:rsidRPr="001956FF" w:rsidRDefault="009E76A1" w:rsidP="007E10B1">
      <w:pPr>
        <w:jc w:val="both"/>
        <w:rPr>
          <w:sz w:val="20"/>
          <w:szCs w:val="20"/>
        </w:rPr>
      </w:pPr>
      <w:r w:rsidRPr="001956FF">
        <w:rPr>
          <w:sz w:val="20"/>
          <w:szCs w:val="20"/>
        </w:rPr>
        <w:t>7. Dodavatel touto smlouvou uděluje odběrateli výhradní licenci k užívání těchto autorských děl</w:t>
      </w:r>
      <w:r w:rsidR="008D33CD">
        <w:rPr>
          <w:sz w:val="20"/>
          <w:szCs w:val="20"/>
        </w:rPr>
        <w:t xml:space="preserve"> vzniklých v rámci realizace díla dle objednávky a těchto podmínek</w:t>
      </w:r>
      <w:r w:rsidRPr="001956FF">
        <w:rPr>
          <w:sz w:val="20"/>
          <w:szCs w:val="20"/>
        </w:rPr>
        <w:t xml:space="preserve"> s tím, že tato licence je udělena jako výhradní, věcně, časově a prostorově (místně) neomezená a trvá po celou dobu existence příslušných majetkových práv. </w:t>
      </w:r>
    </w:p>
    <w:p w14:paraId="5EBEC113" w14:textId="18BB7D44" w:rsidR="0075247E" w:rsidRPr="001956FF" w:rsidRDefault="009E76A1" w:rsidP="007E10B1">
      <w:pPr>
        <w:jc w:val="both"/>
        <w:rPr>
          <w:sz w:val="20"/>
          <w:szCs w:val="20"/>
        </w:rPr>
      </w:pPr>
      <w:r w:rsidRPr="001956FF">
        <w:rPr>
          <w:sz w:val="20"/>
          <w:szCs w:val="20"/>
        </w:rPr>
        <w:t xml:space="preserve">8. Dodavatel uděluje souhlas se změnou díla či děl dle </w:t>
      </w:r>
      <w:r w:rsidR="008D33CD">
        <w:rPr>
          <w:sz w:val="20"/>
          <w:szCs w:val="20"/>
        </w:rPr>
        <w:t>objednávky a těchto podmínek</w:t>
      </w:r>
      <w:r w:rsidRPr="001956FF">
        <w:rPr>
          <w:sz w:val="20"/>
          <w:szCs w:val="20"/>
        </w:rPr>
        <w:t xml:space="preserve">, např. zpracováním, rozšířením, upravením, případně spojením s jiným dílem. Tento souhlas uděluje dodavatel na dobu neurčitou. </w:t>
      </w:r>
    </w:p>
    <w:p w14:paraId="7B85BDF3" w14:textId="77777777" w:rsidR="0075247E" w:rsidRPr="001956FF" w:rsidRDefault="009E76A1" w:rsidP="007E10B1">
      <w:pPr>
        <w:jc w:val="both"/>
        <w:rPr>
          <w:sz w:val="20"/>
          <w:szCs w:val="20"/>
        </w:rPr>
      </w:pPr>
      <w:r w:rsidRPr="001956FF">
        <w:rPr>
          <w:sz w:val="20"/>
          <w:szCs w:val="20"/>
        </w:rPr>
        <w:t xml:space="preserve">9. V případě, že se odběratel rozhodne užívat autorské dílo nad rámec shora udělené licence, je povinen požádat dodavatele o rozšíření licence. V takovém případě je dodavatel povinen žádosti vyhovět, připouští-li to jeho vlastní licenční oprávnění, a náleží mu za to přiměřená odměna. </w:t>
      </w:r>
    </w:p>
    <w:p w14:paraId="0E8419FC" w14:textId="7CE58BF2" w:rsidR="0075247E" w:rsidRPr="001956FF" w:rsidRDefault="009E76A1" w:rsidP="007E10B1">
      <w:pPr>
        <w:jc w:val="both"/>
        <w:rPr>
          <w:sz w:val="20"/>
          <w:szCs w:val="20"/>
        </w:rPr>
      </w:pPr>
      <w:r w:rsidRPr="001956FF">
        <w:rPr>
          <w:sz w:val="20"/>
          <w:szCs w:val="20"/>
        </w:rPr>
        <w:t xml:space="preserve">10. Bude-li to vzhledem k jejich povaze možné, zajistí dodavatel shodnou licenci také k dílům vytvářeným pro účely naplnění této smlouvy třetími stranami. Nebude-li zajištění licence dle předchozí věty možné či hospodárné, zajistí licenci pouze v rozsahu uvedeném v dílčí dohodě. </w:t>
      </w:r>
    </w:p>
    <w:p w14:paraId="06A381C6" w14:textId="77777777" w:rsidR="0075247E" w:rsidRPr="001956FF" w:rsidRDefault="009E76A1" w:rsidP="007E10B1">
      <w:pPr>
        <w:jc w:val="both"/>
        <w:rPr>
          <w:sz w:val="20"/>
          <w:szCs w:val="20"/>
        </w:rPr>
      </w:pPr>
      <w:r w:rsidRPr="001956FF">
        <w:rPr>
          <w:sz w:val="20"/>
          <w:szCs w:val="20"/>
        </w:rPr>
        <w:t xml:space="preserve">11. Dodavatel prohlašuje, že si je vědom, že ve smyslu ust. § 2 písm. e) zákona č. 320/2001 Sb., o finanční kontrole, ve znění pozdějších předpisů, povinen spolupůsobit při výkonu finanční kontroly. </w:t>
      </w:r>
    </w:p>
    <w:p w14:paraId="6E779C1E" w14:textId="77777777" w:rsidR="0075247E" w:rsidRPr="001956FF" w:rsidRDefault="009E76A1" w:rsidP="007E10B1">
      <w:pPr>
        <w:jc w:val="both"/>
        <w:rPr>
          <w:sz w:val="20"/>
          <w:szCs w:val="20"/>
        </w:rPr>
      </w:pPr>
      <w:r w:rsidRPr="001956FF">
        <w:rPr>
          <w:sz w:val="20"/>
          <w:szCs w:val="20"/>
        </w:rPr>
        <w:t xml:space="preserve">12. Dodavatel bere na vědomí, že odběrateli může být právním předpisem uloženo uveřejnit text této smlouvy, včetně jejích případných změn a dodatků. Dodavatel dále souhlasí s případným uveřejněním skutečně uhrazené ceny dle příslušných právních předpisů. </w:t>
      </w:r>
    </w:p>
    <w:p w14:paraId="72ACAC31" w14:textId="0148B653" w:rsidR="0075247E" w:rsidRPr="001956FF" w:rsidRDefault="009E76A1" w:rsidP="007E10B1">
      <w:pPr>
        <w:jc w:val="both"/>
        <w:rPr>
          <w:sz w:val="20"/>
          <w:szCs w:val="20"/>
        </w:rPr>
      </w:pPr>
      <w:r w:rsidRPr="001956FF">
        <w:rPr>
          <w:sz w:val="20"/>
          <w:szCs w:val="20"/>
        </w:rPr>
        <w:t>13. Objednávku lze měnit pouze formou písemných dodatku označených vzestupnou číselnou řadou, přičemž podpisy osob oprávněných jednat za smluvní strany musí být vždy na stejné straně, není</w:t>
      </w:r>
      <w:r w:rsidR="00F634B0">
        <w:rPr>
          <w:sz w:val="20"/>
          <w:szCs w:val="20"/>
        </w:rPr>
        <w:t>-</w:t>
      </w:r>
      <w:r w:rsidRPr="001956FF">
        <w:rPr>
          <w:sz w:val="20"/>
          <w:szCs w:val="20"/>
        </w:rPr>
        <w:t xml:space="preserve">li v této smlouvě stanovené něco jiného. </w:t>
      </w:r>
    </w:p>
    <w:p w14:paraId="4681343C" w14:textId="3F35F2F0" w:rsidR="002F19E0" w:rsidRPr="001956FF" w:rsidRDefault="009E76A1" w:rsidP="007E10B1">
      <w:pPr>
        <w:jc w:val="both"/>
        <w:rPr>
          <w:sz w:val="20"/>
          <w:szCs w:val="20"/>
        </w:rPr>
      </w:pPr>
      <w:r w:rsidRPr="001956FF">
        <w:rPr>
          <w:sz w:val="20"/>
          <w:szCs w:val="20"/>
        </w:rPr>
        <w:t>14. Objednávka nabývá platnosti dnem jejího podpisu oběma smluvními stranami a účinnosti uveřejněním v registru smluv ve smyslu zákona č. 340/2015 Sb., o zvláštních podmínkách účinnosti některých smluv, uveřejňování těchto smluv a o registru smluv (zákon o registru smluv), ve znění pozdějších předpisů</w:t>
      </w:r>
      <w:r w:rsidR="00F634B0">
        <w:rPr>
          <w:sz w:val="20"/>
          <w:szCs w:val="20"/>
        </w:rPr>
        <w:t>.</w:t>
      </w:r>
    </w:p>
    <w:sectPr w:rsidR="002F19E0" w:rsidRPr="001956FF" w:rsidSect="00ED36D9">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BC8E3" w14:textId="77777777" w:rsidR="00AD2324" w:rsidRDefault="00AD2324" w:rsidP="009E76A1">
      <w:pPr>
        <w:spacing w:after="0" w:line="240" w:lineRule="auto"/>
      </w:pPr>
      <w:r>
        <w:separator/>
      </w:r>
    </w:p>
  </w:endnote>
  <w:endnote w:type="continuationSeparator" w:id="0">
    <w:p w14:paraId="5345AC54" w14:textId="77777777" w:rsidR="00AD2324" w:rsidRDefault="00AD2324" w:rsidP="009E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65ACB" w14:textId="77777777" w:rsidR="00AD2324" w:rsidRDefault="00AD2324" w:rsidP="009E76A1">
      <w:pPr>
        <w:spacing w:after="0" w:line="240" w:lineRule="auto"/>
      </w:pPr>
      <w:r>
        <w:separator/>
      </w:r>
    </w:p>
  </w:footnote>
  <w:footnote w:type="continuationSeparator" w:id="0">
    <w:p w14:paraId="3998C3DC" w14:textId="77777777" w:rsidR="00AD2324" w:rsidRDefault="00AD2324" w:rsidP="009E7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D3B5D" w14:textId="52E4FE8B" w:rsidR="00ED36D9" w:rsidRDefault="00ED36D9">
    <w:pPr>
      <w:pStyle w:val="Zhlav"/>
    </w:pPr>
    <w: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D6A6A"/>
    <w:multiLevelType w:val="hybridMultilevel"/>
    <w:tmpl w:val="02F02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B46AE0"/>
    <w:multiLevelType w:val="hybridMultilevel"/>
    <w:tmpl w:val="BB7C20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441338"/>
    <w:multiLevelType w:val="hybridMultilevel"/>
    <w:tmpl w:val="49C0A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D343C1"/>
    <w:multiLevelType w:val="multilevel"/>
    <w:tmpl w:val="E89A1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7549964">
    <w:abstractNumId w:val="0"/>
  </w:num>
  <w:num w:numId="2" w16cid:durableId="1875729032">
    <w:abstractNumId w:val="1"/>
  </w:num>
  <w:num w:numId="3" w16cid:durableId="686834846">
    <w:abstractNumId w:val="2"/>
  </w:num>
  <w:num w:numId="4" w16cid:durableId="114747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A1"/>
    <w:rsid w:val="00046526"/>
    <w:rsid w:val="000C3C4B"/>
    <w:rsid w:val="001956FF"/>
    <w:rsid w:val="00245B4E"/>
    <w:rsid w:val="002E26E6"/>
    <w:rsid w:val="002F19E0"/>
    <w:rsid w:val="003C4F86"/>
    <w:rsid w:val="003D57B1"/>
    <w:rsid w:val="003D6354"/>
    <w:rsid w:val="004508FF"/>
    <w:rsid w:val="005D1E18"/>
    <w:rsid w:val="006723C0"/>
    <w:rsid w:val="0069228B"/>
    <w:rsid w:val="0075247E"/>
    <w:rsid w:val="007872FA"/>
    <w:rsid w:val="007E10B1"/>
    <w:rsid w:val="008646F6"/>
    <w:rsid w:val="008D33CD"/>
    <w:rsid w:val="009324B4"/>
    <w:rsid w:val="00964F04"/>
    <w:rsid w:val="009E76A1"/>
    <w:rsid w:val="00A71EB1"/>
    <w:rsid w:val="00AD2324"/>
    <w:rsid w:val="00B03D70"/>
    <w:rsid w:val="00B82408"/>
    <w:rsid w:val="00B90E7E"/>
    <w:rsid w:val="00C22E99"/>
    <w:rsid w:val="00C70601"/>
    <w:rsid w:val="00C86ED2"/>
    <w:rsid w:val="00D5371A"/>
    <w:rsid w:val="00D77C2A"/>
    <w:rsid w:val="00DD1E61"/>
    <w:rsid w:val="00ED36D9"/>
    <w:rsid w:val="00F20644"/>
    <w:rsid w:val="00F54A89"/>
    <w:rsid w:val="00F63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D9C9"/>
  <w15:chartTrackingRefBased/>
  <w15:docId w15:val="{DE1A2D79-C4D7-49E1-86FF-90FBD94D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E7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9E7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E76A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E76A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E76A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E76A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E76A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E76A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E76A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76A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E76A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E76A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E76A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E76A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E76A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E76A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E76A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E76A1"/>
    <w:rPr>
      <w:rFonts w:eastAsiaTheme="majorEastAsia" w:cstheme="majorBidi"/>
      <w:color w:val="272727" w:themeColor="text1" w:themeTint="D8"/>
    </w:rPr>
  </w:style>
  <w:style w:type="paragraph" w:styleId="Nzev">
    <w:name w:val="Title"/>
    <w:basedOn w:val="Normln"/>
    <w:next w:val="Normln"/>
    <w:link w:val="NzevChar"/>
    <w:qFormat/>
    <w:rsid w:val="009E7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E76A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E76A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E76A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E76A1"/>
    <w:pPr>
      <w:spacing w:before="160"/>
      <w:jc w:val="center"/>
    </w:pPr>
    <w:rPr>
      <w:i/>
      <w:iCs/>
      <w:color w:val="404040" w:themeColor="text1" w:themeTint="BF"/>
    </w:rPr>
  </w:style>
  <w:style w:type="character" w:customStyle="1" w:styleId="CittChar">
    <w:name w:val="Citát Char"/>
    <w:basedOn w:val="Standardnpsmoodstavce"/>
    <w:link w:val="Citt"/>
    <w:uiPriority w:val="29"/>
    <w:rsid w:val="009E76A1"/>
    <w:rPr>
      <w:i/>
      <w:iCs/>
      <w:color w:val="404040" w:themeColor="text1" w:themeTint="BF"/>
    </w:rPr>
  </w:style>
  <w:style w:type="paragraph" w:styleId="Odstavecseseznamem">
    <w:name w:val="List Paragraph"/>
    <w:basedOn w:val="Normln"/>
    <w:uiPriority w:val="34"/>
    <w:qFormat/>
    <w:rsid w:val="009E76A1"/>
    <w:pPr>
      <w:ind w:left="720"/>
      <w:contextualSpacing/>
    </w:pPr>
  </w:style>
  <w:style w:type="character" w:styleId="Zdraznnintenzivn">
    <w:name w:val="Intense Emphasis"/>
    <w:basedOn w:val="Standardnpsmoodstavce"/>
    <w:uiPriority w:val="21"/>
    <w:qFormat/>
    <w:rsid w:val="009E76A1"/>
    <w:rPr>
      <w:i/>
      <w:iCs/>
      <w:color w:val="0F4761" w:themeColor="accent1" w:themeShade="BF"/>
    </w:rPr>
  </w:style>
  <w:style w:type="paragraph" w:styleId="Vrazncitt">
    <w:name w:val="Intense Quote"/>
    <w:basedOn w:val="Normln"/>
    <w:next w:val="Normln"/>
    <w:link w:val="VrazncittChar"/>
    <w:uiPriority w:val="30"/>
    <w:qFormat/>
    <w:rsid w:val="009E7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E76A1"/>
    <w:rPr>
      <w:i/>
      <w:iCs/>
      <w:color w:val="0F4761" w:themeColor="accent1" w:themeShade="BF"/>
    </w:rPr>
  </w:style>
  <w:style w:type="character" w:styleId="Odkazintenzivn">
    <w:name w:val="Intense Reference"/>
    <w:basedOn w:val="Standardnpsmoodstavce"/>
    <w:uiPriority w:val="32"/>
    <w:qFormat/>
    <w:rsid w:val="009E76A1"/>
    <w:rPr>
      <w:b/>
      <w:bCs/>
      <w:smallCaps/>
      <w:color w:val="0F4761" w:themeColor="accent1" w:themeShade="BF"/>
      <w:spacing w:val="5"/>
    </w:rPr>
  </w:style>
  <w:style w:type="paragraph" w:styleId="Zhlav">
    <w:name w:val="header"/>
    <w:basedOn w:val="Normln"/>
    <w:link w:val="ZhlavChar"/>
    <w:uiPriority w:val="99"/>
    <w:unhideWhenUsed/>
    <w:rsid w:val="009E7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76A1"/>
  </w:style>
  <w:style w:type="paragraph" w:styleId="Zpat">
    <w:name w:val="footer"/>
    <w:basedOn w:val="Normln"/>
    <w:link w:val="ZpatChar"/>
    <w:uiPriority w:val="99"/>
    <w:unhideWhenUsed/>
    <w:rsid w:val="009E7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76A1"/>
  </w:style>
  <w:style w:type="character" w:styleId="Hypertextovodkaz">
    <w:name w:val="Hyperlink"/>
    <w:basedOn w:val="Standardnpsmoodstavce"/>
    <w:uiPriority w:val="99"/>
    <w:unhideWhenUsed/>
    <w:rsid w:val="009E76A1"/>
    <w:rPr>
      <w:color w:val="467886" w:themeColor="hyperlink"/>
      <w:u w:val="single"/>
    </w:rPr>
  </w:style>
  <w:style w:type="character" w:styleId="Nevyeenzmnka">
    <w:name w:val="Unresolved Mention"/>
    <w:basedOn w:val="Standardnpsmoodstavce"/>
    <w:uiPriority w:val="99"/>
    <w:semiHidden/>
    <w:unhideWhenUsed/>
    <w:rsid w:val="009E76A1"/>
    <w:rPr>
      <w:color w:val="605E5C"/>
      <w:shd w:val="clear" w:color="auto" w:fill="E1DFDD"/>
    </w:rPr>
  </w:style>
  <w:style w:type="paragraph" w:customStyle="1" w:styleId="paragraph">
    <w:name w:val="paragraph"/>
    <w:basedOn w:val="Normln"/>
    <w:rsid w:val="00F20644"/>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basedOn w:val="Standardnpsmoodstavce"/>
    <w:rsid w:val="00F20644"/>
  </w:style>
  <w:style w:type="character" w:customStyle="1" w:styleId="eop">
    <w:name w:val="eop"/>
    <w:basedOn w:val="Standardnpsmoodstavce"/>
    <w:rsid w:val="00F20644"/>
  </w:style>
  <w:style w:type="paragraph" w:customStyle="1" w:styleId="xxmsolistparagraph">
    <w:name w:val="x_xmsolistparagraph"/>
    <w:basedOn w:val="Normln"/>
    <w:rsid w:val="00F20644"/>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a">
    <w:basedOn w:val="Normln"/>
    <w:next w:val="Podnadpis"/>
    <w:qFormat/>
    <w:rsid w:val="007E10B1"/>
    <w:pPr>
      <w:spacing w:after="0" w:line="360" w:lineRule="auto"/>
    </w:pPr>
    <w:rPr>
      <w:rFonts w:ascii="Tahoma" w:eastAsia="Times New Roman" w:hAnsi="Tahoma" w:cs="Tahoma"/>
      <w:b/>
      <w:bCs/>
      <w:kern w:val="0"/>
      <w:sz w:val="18"/>
      <w:szCs w:val="24"/>
      <w:lang w:eastAsia="cs-CZ"/>
      <w14:ligatures w14:val="none"/>
    </w:rPr>
  </w:style>
  <w:style w:type="paragraph" w:styleId="Revize">
    <w:name w:val="Revision"/>
    <w:hidden/>
    <w:uiPriority w:val="99"/>
    <w:semiHidden/>
    <w:rsid w:val="006723C0"/>
    <w:pPr>
      <w:spacing w:after="0" w:line="240" w:lineRule="auto"/>
    </w:pPr>
  </w:style>
  <w:style w:type="character" w:styleId="Odkaznakoment">
    <w:name w:val="annotation reference"/>
    <w:basedOn w:val="Standardnpsmoodstavce"/>
    <w:uiPriority w:val="99"/>
    <w:semiHidden/>
    <w:unhideWhenUsed/>
    <w:rsid w:val="00964F04"/>
    <w:rPr>
      <w:sz w:val="16"/>
      <w:szCs w:val="16"/>
    </w:rPr>
  </w:style>
  <w:style w:type="paragraph" w:styleId="Textkomente">
    <w:name w:val="annotation text"/>
    <w:basedOn w:val="Normln"/>
    <w:link w:val="TextkomenteChar"/>
    <w:uiPriority w:val="99"/>
    <w:unhideWhenUsed/>
    <w:rsid w:val="00964F04"/>
    <w:pPr>
      <w:spacing w:line="240" w:lineRule="auto"/>
    </w:pPr>
    <w:rPr>
      <w:sz w:val="20"/>
      <w:szCs w:val="20"/>
    </w:rPr>
  </w:style>
  <w:style w:type="character" w:customStyle="1" w:styleId="TextkomenteChar">
    <w:name w:val="Text komentáře Char"/>
    <w:basedOn w:val="Standardnpsmoodstavce"/>
    <w:link w:val="Textkomente"/>
    <w:uiPriority w:val="99"/>
    <w:rsid w:val="00964F04"/>
    <w:rPr>
      <w:sz w:val="20"/>
      <w:szCs w:val="20"/>
    </w:rPr>
  </w:style>
  <w:style w:type="paragraph" w:styleId="Pedmtkomente">
    <w:name w:val="annotation subject"/>
    <w:basedOn w:val="Textkomente"/>
    <w:next w:val="Textkomente"/>
    <w:link w:val="PedmtkomenteChar"/>
    <w:uiPriority w:val="99"/>
    <w:semiHidden/>
    <w:unhideWhenUsed/>
    <w:rsid w:val="00964F04"/>
    <w:rPr>
      <w:b/>
      <w:bCs/>
    </w:rPr>
  </w:style>
  <w:style w:type="character" w:customStyle="1" w:styleId="PedmtkomenteChar">
    <w:name w:val="Předmět komentáře Char"/>
    <w:basedOn w:val="TextkomenteChar"/>
    <w:link w:val="Pedmtkomente"/>
    <w:uiPriority w:val="99"/>
    <w:semiHidden/>
    <w:rsid w:val="00964F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1702</Words>
  <Characters>10043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Vejchoda Radoslav</dc:creator>
  <cp:keywords/>
  <dc:description/>
  <cp:lastModifiedBy>Bukvaldová Jarmila</cp:lastModifiedBy>
  <cp:revision>6</cp:revision>
  <dcterms:created xsi:type="dcterms:W3CDTF">2024-06-27T07:49:00Z</dcterms:created>
  <dcterms:modified xsi:type="dcterms:W3CDTF">2024-07-01T16:27:00Z</dcterms:modified>
</cp:coreProperties>
</file>