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FCD3" w14:textId="5216E318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61CE8C6" w:rsidR="0077026D" w:rsidRPr="001E1E57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1E1E57">
        <w:rPr>
          <w:rFonts w:cs="Arial"/>
          <w:b/>
          <w:sz w:val="28"/>
          <w:szCs w:val="28"/>
        </w:rPr>
        <w:t xml:space="preserve">č. </w:t>
      </w:r>
      <w:r w:rsidR="001E1E57" w:rsidRPr="001E1E57">
        <w:rPr>
          <w:rFonts w:cs="Arial"/>
          <w:b/>
          <w:sz w:val="28"/>
          <w:szCs w:val="28"/>
        </w:rPr>
        <w:t>D/2106/2024/KUL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C9FF4B7" w14:textId="77777777" w:rsidR="001E1E57" w:rsidRDefault="001E1E57" w:rsidP="001E1E57">
            <w:pPr>
              <w:spacing w:line="276" w:lineRule="auto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Collegium</w:t>
            </w:r>
            <w:proofErr w:type="spellEnd"/>
            <w:r>
              <w:rPr>
                <w:b/>
                <w:bCs/>
                <w:szCs w:val="20"/>
              </w:rPr>
              <w:t xml:space="preserve"> musicale z. s. </w:t>
            </w:r>
          </w:p>
          <w:p w14:paraId="2F7BE85F" w14:textId="77777777" w:rsidR="001E1E57" w:rsidRDefault="001E1E57" w:rsidP="001E1E5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náměstí Míru 350/2, 76701 Kroměříž</w:t>
            </w:r>
          </w:p>
          <w:p w14:paraId="3F8E60D3" w14:textId="5307D12A" w:rsidR="001E1E57" w:rsidRDefault="001E1E57" w:rsidP="001E1E5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Spolek</w:t>
            </w:r>
          </w:p>
          <w:p w14:paraId="54255019" w14:textId="77777777" w:rsidR="001E1E57" w:rsidRDefault="001E1E57" w:rsidP="001E1E57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06564160</w:t>
            </w:r>
          </w:p>
          <w:p w14:paraId="367EB9EE" w14:textId="77777777" w:rsidR="001E1E57" w:rsidRDefault="001E1E57" w:rsidP="001E1E5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Raiffeisenbank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220044005/5500</w:t>
            </w:r>
          </w:p>
          <w:p w14:paraId="36AFBA0D" w14:textId="219ED33A" w:rsidR="001E1E57" w:rsidRDefault="001E1E57" w:rsidP="001E1E5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zapsaný: Krajský soud v Brně, oddíl L, vložka 23354  </w:t>
            </w:r>
          </w:p>
          <w:p w14:paraId="0E814F5B" w14:textId="77777777" w:rsidR="001E1E57" w:rsidRDefault="001E1E57" w:rsidP="001E1E5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zastoupen: Bc. Jana Kubáčová, předsedkyně spolku, výkonná ředitelka </w:t>
            </w:r>
          </w:p>
          <w:p w14:paraId="4D96ABA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2F818F7D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</w:t>
      </w:r>
      <w:r w:rsidR="001E1E57">
        <w:rPr>
          <w:szCs w:val="20"/>
        </w:rPr>
        <w:t>z Fondu Zlínského kraje (dále jen „</w:t>
      </w:r>
      <w:r w:rsidR="001E1E57">
        <w:rPr>
          <w:b/>
          <w:bCs/>
          <w:szCs w:val="20"/>
        </w:rPr>
        <w:t>dotace</w:t>
      </w:r>
      <w:r w:rsidR="001E1E57">
        <w:rPr>
          <w:szCs w:val="20"/>
        </w:rPr>
        <w:t>“) do výše </w:t>
      </w:r>
      <w:r w:rsidR="001E1E57">
        <w:rPr>
          <w:b/>
          <w:bCs/>
          <w:szCs w:val="20"/>
        </w:rPr>
        <w:t>250 000</w:t>
      </w:r>
      <w:r w:rsidR="001E1E57">
        <w:rPr>
          <w:szCs w:val="20"/>
        </w:rPr>
        <w:t xml:space="preserve"> </w:t>
      </w:r>
      <w:r w:rsidR="001E1E57">
        <w:rPr>
          <w:b/>
          <w:bCs/>
          <w:szCs w:val="20"/>
        </w:rPr>
        <w:t>Kč</w:t>
      </w:r>
      <w:r w:rsidR="001E1E57">
        <w:rPr>
          <w:szCs w:val="20"/>
        </w:rPr>
        <w:t xml:space="preserve">, (slovy: dvě sta padesát tisíc korun českých), současně však </w:t>
      </w:r>
      <w:r w:rsidR="001E1E57">
        <w:rPr>
          <w:b/>
          <w:bCs/>
          <w:szCs w:val="20"/>
        </w:rPr>
        <w:t>maximálně 19,01 % celkových způsobilých výdajů</w:t>
      </w:r>
      <w:r w:rsidR="001E1E57">
        <w:rPr>
          <w:szCs w:val="20"/>
        </w:rPr>
        <w:t xml:space="preserve"> projektu na realizaci akce: </w:t>
      </w:r>
      <w:r w:rsidR="001E1E57">
        <w:rPr>
          <w:b/>
          <w:bCs/>
          <w:szCs w:val="20"/>
        </w:rPr>
        <w:t>Letní hudební akademie Kroměříž 2024</w:t>
      </w:r>
      <w:r w:rsidR="001E1E57">
        <w:rPr>
          <w:szCs w:val="20"/>
        </w:rPr>
        <w:t xml:space="preserve"> (dále jen „</w:t>
      </w:r>
      <w:r w:rsidR="001E1E57">
        <w:rPr>
          <w:b/>
          <w:bCs/>
          <w:szCs w:val="20"/>
        </w:rPr>
        <w:t>projekt</w:t>
      </w:r>
      <w:r w:rsidR="001E1E57">
        <w:rPr>
          <w:szCs w:val="20"/>
        </w:rPr>
        <w:t>“), evidovaného pod registračním číslem žádosti o</w:t>
      </w:r>
      <w:r w:rsidR="00131303">
        <w:rPr>
          <w:szCs w:val="20"/>
        </w:rPr>
        <w:t> </w:t>
      </w:r>
      <w:r w:rsidR="001E1E57">
        <w:rPr>
          <w:szCs w:val="20"/>
        </w:rPr>
        <w:t xml:space="preserve">poskytnutí dotace </w:t>
      </w:r>
      <w:r w:rsidR="001E1E57">
        <w:rPr>
          <w:b/>
          <w:bCs/>
          <w:szCs w:val="20"/>
        </w:rPr>
        <w:t>KUL06-24/007</w:t>
      </w:r>
      <w:r w:rsidR="001E1E57">
        <w:rPr>
          <w:szCs w:val="20"/>
        </w:rPr>
        <w:t xml:space="preserve">, který je blíže popsán v žádosti o poskytnutí dotace, a který se bude konat ve dnech </w:t>
      </w:r>
      <w:r w:rsidR="001E1E57">
        <w:rPr>
          <w:spacing w:val="-4"/>
          <w:szCs w:val="20"/>
        </w:rPr>
        <w:t>15.08.2024 - 23.08.2024</w:t>
      </w:r>
      <w:r w:rsidR="001E1E57">
        <w:rPr>
          <w:szCs w:val="20"/>
        </w:rPr>
        <w:t xml:space="preserve">.    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1E1E57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1E1E57" w:rsidRPr="001426D2" w14:paraId="61D86D70" w14:textId="77777777" w:rsidTr="001E1E57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250B4AD5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0BF4793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koncert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75D90305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4F6E4824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</w:tr>
      <w:tr w:rsidR="001E1E57" w:rsidRPr="001426D2" w14:paraId="17E68272" w14:textId="77777777" w:rsidTr="001E1E57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3DC5E72B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0A3E38F7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student akademie 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3AFF8A59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23B2BF71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40</w:t>
            </w:r>
          </w:p>
        </w:tc>
      </w:tr>
      <w:tr w:rsidR="001E1E57" w:rsidRPr="001426D2" w14:paraId="1D176CE0" w14:textId="77777777" w:rsidTr="001E1E57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4155D3E1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7919AA51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vyučující lektor 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7646DCBF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5E8D3077" w:rsidR="001E1E57" w:rsidRPr="001426D2" w:rsidRDefault="001E1E57" w:rsidP="001E1E57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7</w:t>
            </w:r>
          </w:p>
        </w:tc>
      </w:tr>
    </w:tbl>
    <w:p w14:paraId="26B88F3D" w14:textId="3F9A546E" w:rsidR="008E7B6E" w:rsidRDefault="00530D1A" w:rsidP="000417D8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</w:t>
      </w:r>
      <w:r w:rsidR="00F575F2">
        <w:t>,</w:t>
      </w:r>
      <w:r w:rsidR="000417D8" w:rsidRPr="000417D8">
        <w:t xml:space="preserve"> se jedná o podstatné nenaplnění monitorovacích indikátorů</w:t>
      </w:r>
      <w:r w:rsidR="000417D8">
        <w:t>.</w:t>
      </w:r>
      <w:r w:rsidR="00D65F4F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40772DC0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1E1E57">
        <w:rPr>
          <w:b/>
          <w:bCs/>
          <w:spacing w:val="-1"/>
          <w:szCs w:val="20"/>
        </w:rPr>
        <w:t>1 315 000</w:t>
      </w:r>
      <w:r w:rsidR="005364CC" w:rsidRPr="00CD4456">
        <w:rPr>
          <w:szCs w:val="20"/>
        </w:rPr>
        <w:t> </w:t>
      </w:r>
      <w:r w:rsidR="005364CC" w:rsidRPr="005F009A">
        <w:rPr>
          <w:b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3C8E01D2" w14:textId="4C46C790" w:rsidR="006C0AE3" w:rsidRPr="005372DC" w:rsidRDefault="006C0AE3" w:rsidP="006C0AE3">
      <w:pPr>
        <w:pStyle w:val="2rove"/>
      </w:pPr>
      <w:r w:rsidRPr="005372DC">
        <w:lastRenderedPageBreak/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1E1E57" w:rsidRPr="001E1E57">
        <w:t>21062024</w:t>
      </w:r>
      <w:r w:rsidR="001E1E57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 xml:space="preserve">vést o projektu oddělenou účetní evidenci a výkaznictví. Musí být jednoznačně prokazatelné, zda konkrétní výdaj nebo příjem je vykazován na podporovaný projekt a skutečně odpovídá charakteru projektu. Subjekty, které vedou daňovou </w:t>
      </w:r>
      <w:r w:rsidRPr="00A103DD">
        <w:lastRenderedPageBreak/>
        <w:t>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3939309A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 xml:space="preserve">podporou de minimis se příjemce zavazuje, že </w:t>
      </w:r>
      <w:r w:rsidR="00D87383" w:rsidRPr="0099201B">
        <w:lastRenderedPageBreak/>
        <w:t>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5C274FE0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5785136B" w:rsidR="002D215A" w:rsidRPr="00D11E31" w:rsidRDefault="002D215A" w:rsidP="004C3F28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980B8C">
        <w:t xml:space="preserve"> 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1B61FB7C" w:rsidR="00D9597D" w:rsidRPr="001E1E57" w:rsidRDefault="00747C54" w:rsidP="00501F8C">
      <w:pPr>
        <w:pStyle w:val="3rove-trval"/>
      </w:pPr>
      <w:r w:rsidRPr="001E1E57">
        <w:t xml:space="preserve">změna adresy nebo </w:t>
      </w:r>
      <w:r w:rsidR="00D9597D" w:rsidRPr="001E1E57">
        <w:t>sídla příjemce,</w:t>
      </w:r>
      <w:r w:rsidRPr="001E1E57">
        <w:t xml:space="preserve">  </w:t>
      </w:r>
    </w:p>
    <w:p w14:paraId="28901192" w14:textId="77777777" w:rsidR="00D9597D" w:rsidRPr="001E1E57" w:rsidRDefault="00747C54" w:rsidP="00501F8C">
      <w:pPr>
        <w:pStyle w:val="3rove-trval"/>
      </w:pPr>
      <w:r w:rsidRPr="001E1E57">
        <w:t xml:space="preserve">změna statutárního orgánu nebo </w:t>
      </w:r>
      <w:r w:rsidR="00D9597D" w:rsidRPr="001E1E57">
        <w:t>kontaktní osoby,</w:t>
      </w:r>
    </w:p>
    <w:p w14:paraId="39FEE3AF" w14:textId="1E0F2338" w:rsidR="00D9597D" w:rsidRPr="001E1E57" w:rsidRDefault="00747C54" w:rsidP="00501F8C">
      <w:pPr>
        <w:pStyle w:val="3rove-trval"/>
      </w:pPr>
      <w:r w:rsidRPr="001E1E57">
        <w:t>změna názvu příjemce</w:t>
      </w:r>
      <w:r w:rsidR="00D9597D" w:rsidRPr="001E1E57">
        <w:t>,</w:t>
      </w:r>
      <w:r w:rsidRPr="001E1E57">
        <w:t xml:space="preserve"> </w:t>
      </w:r>
    </w:p>
    <w:p w14:paraId="02717BA8" w14:textId="77777777" w:rsidR="00747C54" w:rsidRPr="001E1E57" w:rsidRDefault="00747C54" w:rsidP="00501F8C">
      <w:pPr>
        <w:pStyle w:val="3rove-trval"/>
      </w:pPr>
      <w:r w:rsidRPr="001E1E57">
        <w:t>změna názvu akce/projektu při zachování účelu a všech ostatních parametrů akce/projektu,</w:t>
      </w:r>
    </w:p>
    <w:p w14:paraId="56A18FA8" w14:textId="51376B5A" w:rsidR="00D9597D" w:rsidRPr="001E1E57" w:rsidRDefault="00D9597D" w:rsidP="00501F8C">
      <w:pPr>
        <w:pStyle w:val="3rove-trval"/>
      </w:pPr>
      <w:r w:rsidRPr="001E1E57">
        <w:t>částečné nenaplnění monitorovacích indikátorů</w:t>
      </w:r>
      <w:r w:rsidR="006A3349" w:rsidRPr="001E1E57">
        <w:t xml:space="preserve"> dle čl. 3.2,</w:t>
      </w:r>
      <w:r w:rsidR="006A3349" w:rsidRPr="001E1E57">
        <w:rPr>
          <w:rStyle w:val="Kvbruaodstrann"/>
        </w:rPr>
        <w:t xml:space="preserve"> </w:t>
      </w:r>
    </w:p>
    <w:p w14:paraId="0F10FFA5" w14:textId="77777777" w:rsidR="00D9597D" w:rsidRDefault="00D9597D" w:rsidP="00501F8C">
      <w:pPr>
        <w:pStyle w:val="3rove-trval"/>
      </w:pPr>
      <w:r w:rsidRPr="001E1E57">
        <w:t>změna zdrojů</w:t>
      </w:r>
      <w:r w:rsidRPr="00A960B0">
        <w:t xml:space="preserve"> nebo výše podílů těchto zdrojů na financování projektu (s výjimkou dotace od Zlínského kraje)</w:t>
      </w:r>
      <w:r>
        <w:t>,</w:t>
      </w:r>
    </w:p>
    <w:p w14:paraId="1A2C1EBB" w14:textId="74BF5588" w:rsidR="007A3EEB" w:rsidRDefault="007A3EEB" w:rsidP="00501F8C">
      <w:pPr>
        <w:pStyle w:val="3rove-trval"/>
      </w:pPr>
      <w:r>
        <w:lastRenderedPageBreak/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4C761057" w:rsidR="00504796" w:rsidRDefault="006A3349" w:rsidP="00BD0327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 xml:space="preserve">dle čl. 3.2, 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 xml:space="preserve">V případě výpovědi této smlouvy před proplacením dotace, nárok na vyplacení dotace nevzniká a nelze se jej platně domáhat. V případě výpovědi smlouvy po proplacení dotace, se příjemce </w:t>
      </w:r>
      <w:r w:rsidRPr="00BC32A3">
        <w:lastRenderedPageBreak/>
        <w:t>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E65A790" w:rsidR="00EC4D55" w:rsidRDefault="00EC4D55" w:rsidP="00D7240D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5A5364">
        <w:t>třech</w:t>
      </w:r>
      <w:r w:rsidR="001E1E57">
        <w:t xml:space="preserve"> </w:t>
      </w:r>
      <w:r w:rsidRPr="00BC32A3">
        <w:t>stejnopisech, z nichž každý má platnost originálu.</w:t>
      </w:r>
      <w:r w:rsidR="006E3B58">
        <w:t> </w:t>
      </w:r>
      <w:r w:rsidR="005A5364">
        <w:t xml:space="preserve">Dvě </w:t>
      </w:r>
      <w:r w:rsidRPr="00BC32A3">
        <w:t xml:space="preserve">vyhotovení obdrží poskytovatel </w:t>
      </w:r>
      <w:r w:rsidR="005A5364">
        <w:t xml:space="preserve">a jedno </w:t>
      </w:r>
      <w:r w:rsidRPr="00BC32A3">
        <w:t>vyhotovení obdrží příjemce</w:t>
      </w:r>
      <w:r w:rsidR="00D7240D" w:rsidRPr="00D7240D">
        <w:t xml:space="preserve">. </w:t>
      </w:r>
    </w:p>
    <w:p w14:paraId="197971F9" w14:textId="644BE2A5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  <w:r w:rsidR="00D7240D" w:rsidRPr="00F75253">
        <w:rPr>
          <w:i/>
          <w:color w:val="5B9BD5" w:themeColor="accent1"/>
          <w:sz w:val="16"/>
          <w:szCs w:val="16"/>
        </w:rPr>
        <w:t xml:space="preserve"> </w:t>
      </w:r>
    </w:p>
    <w:p w14:paraId="63160ED5" w14:textId="219CC809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63E9113C" w14:textId="77777777" w:rsidR="001E1E57" w:rsidRDefault="001E1E57" w:rsidP="001E1E57">
      <w:pPr>
        <w:pStyle w:val="Nadpis1"/>
        <w:numPr>
          <w:ilvl w:val="0"/>
          <w:numId w:val="0"/>
        </w:numPr>
        <w:ind w:left="431"/>
        <w:jc w:val="left"/>
      </w:pPr>
    </w:p>
    <w:p w14:paraId="4E618088" w14:textId="77777777" w:rsidR="001E1E57" w:rsidRDefault="001E1E57" w:rsidP="001E1E57">
      <w:pPr>
        <w:pStyle w:val="2rove"/>
        <w:numPr>
          <w:ilvl w:val="0"/>
          <w:numId w:val="0"/>
        </w:numPr>
        <w:ind w:left="567"/>
      </w:pPr>
    </w:p>
    <w:p w14:paraId="6D0919C3" w14:textId="77777777" w:rsidR="001E1E57" w:rsidRDefault="001E1E57" w:rsidP="001E1E57">
      <w:pPr>
        <w:pStyle w:val="2rove"/>
        <w:numPr>
          <w:ilvl w:val="0"/>
          <w:numId w:val="0"/>
        </w:numPr>
        <w:ind w:left="567"/>
      </w:pPr>
    </w:p>
    <w:p w14:paraId="33FCC137" w14:textId="77777777" w:rsidR="001E1E57" w:rsidRDefault="001E1E57" w:rsidP="001E1E57">
      <w:pPr>
        <w:pStyle w:val="2rove"/>
        <w:numPr>
          <w:ilvl w:val="0"/>
          <w:numId w:val="0"/>
        </w:numPr>
        <w:ind w:left="567"/>
      </w:pPr>
    </w:p>
    <w:p w14:paraId="7DC01300" w14:textId="77777777" w:rsidR="001E1E57" w:rsidRDefault="001E1E57" w:rsidP="001E1E57">
      <w:pPr>
        <w:pStyle w:val="2rove"/>
        <w:numPr>
          <w:ilvl w:val="0"/>
          <w:numId w:val="0"/>
        </w:numPr>
        <w:ind w:left="567"/>
      </w:pPr>
    </w:p>
    <w:p w14:paraId="14A932E0" w14:textId="77777777" w:rsidR="001E1E57" w:rsidRPr="001E1E57" w:rsidRDefault="001E1E57" w:rsidP="001E1E5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2F965D86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2739A722" w14:textId="4DA0C99F" w:rsidR="001E1E57" w:rsidRDefault="001E1E57" w:rsidP="001E1E57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6C504F">
        <w:rPr>
          <w:szCs w:val="20"/>
        </w:rPr>
        <w:t>27. 6. 2024</w:t>
      </w:r>
      <w:r>
        <w:rPr>
          <w:szCs w:val="20"/>
        </w:rPr>
        <w:tab/>
        <w:t xml:space="preserve">Kroměříž, dne </w:t>
      </w:r>
      <w:r w:rsidR="006C504F">
        <w:rPr>
          <w:szCs w:val="20"/>
        </w:rPr>
        <w:t>12. 6. 2024</w:t>
      </w:r>
    </w:p>
    <w:p w14:paraId="69CD83DD" w14:textId="77777777" w:rsidR="001E1E57" w:rsidRDefault="001E1E57" w:rsidP="001E1E57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0C489E30" w14:textId="77777777" w:rsidR="001E1E57" w:rsidRDefault="001E1E57" w:rsidP="001E1E57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58E9564D" w14:textId="77777777" w:rsidR="001E1E57" w:rsidRDefault="001E1E57" w:rsidP="001E1E57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0AA0B107" w14:textId="77777777" w:rsidR="001E1E57" w:rsidRDefault="001E1E57" w:rsidP="001E1E57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51B3FFFB" w14:textId="77777777" w:rsidR="001E1E57" w:rsidRDefault="001E1E57" w:rsidP="001E1E57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017020FF" w14:textId="1568F33E" w:rsidR="001E1E57" w:rsidRDefault="006C504F" w:rsidP="001E1E57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1E1E57">
        <w:rPr>
          <w:szCs w:val="20"/>
        </w:rPr>
        <w:tab/>
      </w:r>
      <w:r>
        <w:rPr>
          <w:szCs w:val="20"/>
        </w:rPr>
        <w:t>XXXXXXX</w:t>
      </w:r>
      <w:r w:rsidR="001E1E57">
        <w:rPr>
          <w:szCs w:val="20"/>
        </w:rPr>
        <w:t>.</w:t>
      </w:r>
    </w:p>
    <w:p w14:paraId="45AE7DD3" w14:textId="77777777" w:rsidR="001E1E57" w:rsidRDefault="001E1E57" w:rsidP="001E1E57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  <w:t>Bc. Jana Kubáčová</w:t>
      </w:r>
    </w:p>
    <w:p w14:paraId="521DE16B" w14:textId="77777777" w:rsidR="001E1E57" w:rsidRDefault="001E1E57" w:rsidP="001E1E57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  <w:t xml:space="preserve">předsedkyně spolku, výkonná ředitelka </w:t>
      </w:r>
    </w:p>
    <w:p w14:paraId="7F436010" w14:textId="7C56C111" w:rsidR="008E7B6E" w:rsidRDefault="008E7B6E" w:rsidP="001E1E57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6C4E" w14:textId="77777777" w:rsidR="00B651C9" w:rsidRDefault="00B651C9" w:rsidP="00324D78">
      <w:pPr>
        <w:spacing w:after="0" w:line="240" w:lineRule="auto"/>
      </w:pPr>
      <w:r>
        <w:separator/>
      </w:r>
    </w:p>
  </w:endnote>
  <w:endnote w:type="continuationSeparator" w:id="0">
    <w:p w14:paraId="2A1979E2" w14:textId="77777777" w:rsidR="00B651C9" w:rsidRDefault="00B651C9" w:rsidP="00324D78">
      <w:pPr>
        <w:spacing w:after="0" w:line="240" w:lineRule="auto"/>
      </w:pPr>
      <w:r>
        <w:continuationSeparator/>
      </w:r>
    </w:p>
  </w:endnote>
  <w:endnote w:type="continuationNotice" w:id="1">
    <w:p w14:paraId="0B1348F9" w14:textId="77777777" w:rsidR="00B651C9" w:rsidRDefault="00B65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4253" w14:textId="77777777" w:rsidR="00B651C9" w:rsidRDefault="00B651C9" w:rsidP="00324D78">
      <w:pPr>
        <w:spacing w:after="0" w:line="240" w:lineRule="auto"/>
      </w:pPr>
      <w:r>
        <w:separator/>
      </w:r>
    </w:p>
  </w:footnote>
  <w:footnote w:type="continuationSeparator" w:id="0">
    <w:p w14:paraId="0FB91BEC" w14:textId="77777777" w:rsidR="00B651C9" w:rsidRDefault="00B651C9" w:rsidP="00324D78">
      <w:pPr>
        <w:spacing w:after="0" w:line="240" w:lineRule="auto"/>
      </w:pPr>
      <w:r>
        <w:continuationSeparator/>
      </w:r>
    </w:p>
  </w:footnote>
  <w:footnote w:type="continuationNotice" w:id="1">
    <w:p w14:paraId="46F9CAE6" w14:textId="77777777" w:rsidR="00B651C9" w:rsidRDefault="00B651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3A"/>
    <w:rsid w:val="000228C3"/>
    <w:rsid w:val="0003487A"/>
    <w:rsid w:val="000417D8"/>
    <w:rsid w:val="0005319A"/>
    <w:rsid w:val="0005501A"/>
    <w:rsid w:val="00060F6E"/>
    <w:rsid w:val="000716FC"/>
    <w:rsid w:val="00077168"/>
    <w:rsid w:val="00083923"/>
    <w:rsid w:val="00090713"/>
    <w:rsid w:val="00095DF0"/>
    <w:rsid w:val="000A2D15"/>
    <w:rsid w:val="000A6E68"/>
    <w:rsid w:val="000B0AC2"/>
    <w:rsid w:val="000B11E0"/>
    <w:rsid w:val="000B7FE5"/>
    <w:rsid w:val="000C5740"/>
    <w:rsid w:val="000D0FC5"/>
    <w:rsid w:val="000D31A2"/>
    <w:rsid w:val="000E151B"/>
    <w:rsid w:val="000E7D0E"/>
    <w:rsid w:val="000F686B"/>
    <w:rsid w:val="00105F1A"/>
    <w:rsid w:val="00114376"/>
    <w:rsid w:val="00116E6A"/>
    <w:rsid w:val="00123AD3"/>
    <w:rsid w:val="00126170"/>
    <w:rsid w:val="00131303"/>
    <w:rsid w:val="00141F9B"/>
    <w:rsid w:val="001422DD"/>
    <w:rsid w:val="0014635F"/>
    <w:rsid w:val="001535FD"/>
    <w:rsid w:val="001575B6"/>
    <w:rsid w:val="001633E8"/>
    <w:rsid w:val="00165E3A"/>
    <w:rsid w:val="00184DB8"/>
    <w:rsid w:val="00185DE1"/>
    <w:rsid w:val="00186F11"/>
    <w:rsid w:val="001C4D9E"/>
    <w:rsid w:val="001C6112"/>
    <w:rsid w:val="001E11F1"/>
    <w:rsid w:val="001E1E57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742B3"/>
    <w:rsid w:val="00281988"/>
    <w:rsid w:val="002827BA"/>
    <w:rsid w:val="00282F08"/>
    <w:rsid w:val="00287043"/>
    <w:rsid w:val="002A0530"/>
    <w:rsid w:val="002A56F2"/>
    <w:rsid w:val="002B1861"/>
    <w:rsid w:val="002B1A10"/>
    <w:rsid w:val="002B4723"/>
    <w:rsid w:val="002C00E2"/>
    <w:rsid w:val="002C5090"/>
    <w:rsid w:val="002C6B0A"/>
    <w:rsid w:val="002D215A"/>
    <w:rsid w:val="002F1FE4"/>
    <w:rsid w:val="002F40F8"/>
    <w:rsid w:val="003042E9"/>
    <w:rsid w:val="00306C0D"/>
    <w:rsid w:val="0030743E"/>
    <w:rsid w:val="00313590"/>
    <w:rsid w:val="00324D78"/>
    <w:rsid w:val="00327495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E5A"/>
    <w:rsid w:val="00674C5D"/>
    <w:rsid w:val="0069023B"/>
    <w:rsid w:val="006A3349"/>
    <w:rsid w:val="006A4FA0"/>
    <w:rsid w:val="006C0AE3"/>
    <w:rsid w:val="006C504F"/>
    <w:rsid w:val="006E3B58"/>
    <w:rsid w:val="006E48D9"/>
    <w:rsid w:val="00703656"/>
    <w:rsid w:val="0071018E"/>
    <w:rsid w:val="007436CA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03C4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8F0B81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7C70"/>
    <w:rsid w:val="009C62B9"/>
    <w:rsid w:val="009D1F61"/>
    <w:rsid w:val="009D6548"/>
    <w:rsid w:val="009E1DBD"/>
    <w:rsid w:val="009E67EA"/>
    <w:rsid w:val="009F0D38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C43"/>
    <w:rsid w:val="00AB4AFB"/>
    <w:rsid w:val="00AB7406"/>
    <w:rsid w:val="00AD41BD"/>
    <w:rsid w:val="00AF403C"/>
    <w:rsid w:val="00B007CA"/>
    <w:rsid w:val="00B036EE"/>
    <w:rsid w:val="00B06852"/>
    <w:rsid w:val="00B11D7E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651C9"/>
    <w:rsid w:val="00B7467E"/>
    <w:rsid w:val="00B779C7"/>
    <w:rsid w:val="00BD0327"/>
    <w:rsid w:val="00BD1A8B"/>
    <w:rsid w:val="00BD2867"/>
    <w:rsid w:val="00BE049C"/>
    <w:rsid w:val="00BE1FEE"/>
    <w:rsid w:val="00BE451E"/>
    <w:rsid w:val="00BF1BAB"/>
    <w:rsid w:val="00C069A0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55D01"/>
    <w:rsid w:val="00D62E0E"/>
    <w:rsid w:val="00D62FDD"/>
    <w:rsid w:val="00D64AB1"/>
    <w:rsid w:val="00D65F4F"/>
    <w:rsid w:val="00D70B07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1</Pages>
  <Words>3795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4</cp:revision>
  <dcterms:created xsi:type="dcterms:W3CDTF">2024-07-01T13:48:00Z</dcterms:created>
  <dcterms:modified xsi:type="dcterms:W3CDTF">2024-07-01T13:52:00Z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