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w:t>
        <w:br/>
        <w:t>předpisů (dále jen „OZ“), (dále jen „smlouva“)</w:t>
      </w:r>
      <w:bookmarkEnd w:id="0"/>
      <w:bookmarkEnd w:id="1"/>
      <w:bookmarkEnd w:id="2"/>
      <w:r>
        <w:rPr>
          <w:color w:val="000000"/>
          <w:spacing w:val="0"/>
          <w:w w:val="100"/>
          <w:position w:val="0"/>
          <w:shd w:val="clear" w:color="auto" w:fill="auto"/>
          <w:lang w:val="cs-CZ" w:eastAsia="cs-CZ" w:bidi="cs-CZ"/>
        </w:rPr>
        <w:br/>
      </w:r>
      <w:r>
        <w:rPr>
          <w:rStyle w:val="CharStyle3"/>
          <w:b/>
          <w:bCs/>
        </w:rPr>
        <w:t>č. smlouvy zhotovitele:</w:t>
        <w:br/>
        <w:t>č. smlouvy objednatele: 671/2024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14"/>
        <w:keepNext w:val="0"/>
        <w:keepLines w:val="0"/>
        <w:widowControl w:val="0"/>
        <w:shd w:val="clear" w:color="auto" w:fill="auto"/>
        <w:bidi w:val="0"/>
        <w:spacing w:before="0"/>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889000</wp:posOffset>
                </wp:positionH>
                <wp:positionV relativeFrom="paragraph">
                  <wp:posOffset>330200</wp:posOffset>
                </wp:positionV>
                <wp:extent cx="987425" cy="948055"/>
                <wp:wrapSquare wrapText="bothSides"/>
                <wp:docPr id="1" name="Shape 1"/>
                <a:graphic xmlns:a="http://schemas.openxmlformats.org/drawingml/2006/main">
                  <a:graphicData uri="http://schemas.microsoft.com/office/word/2010/wordprocessingShape">
                    <wps:wsp>
                      <wps:cNvSpPr txBox="1"/>
                      <wps:spPr>
                        <a:xfrm>
                          <a:ext cx="987425" cy="948055"/>
                        </a:xfrm>
                        <a:prstGeom prst="rect"/>
                        <a:noFill/>
                      </wps:spPr>
                      <wps:txbx>
                        <w:txbxContent>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26.pt;width:77.75pt;height:74.65000000000000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Bělský potok – oprava rovnaniny u č. p. 56 Děčín-Bělá</w:t>
      </w:r>
    </w:p>
    <w:p>
      <w:pPr>
        <w:pStyle w:val="Style2"/>
        <w:keepNext w:val="0"/>
        <w:keepLines w:val="0"/>
        <w:widowControl w:val="0"/>
        <w:shd w:val="clear" w:color="auto" w:fill="auto"/>
        <w:bidi w:val="0"/>
        <w:spacing w:before="0" w:after="0" w:line="240" w:lineRule="auto"/>
        <w:ind w:left="210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10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60" w:line="240" w:lineRule="auto"/>
        <w:ind w:left="2100" w:right="0" w:firstLine="0"/>
        <w:jc w:val="both"/>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682625" cy="658495"/>
                <wp:wrapSquare wrapText="bothSides"/>
                <wp:docPr id="3" name="Shape 3"/>
                <a:graphic xmlns:a="http://schemas.openxmlformats.org/drawingml/2006/main">
                  <a:graphicData uri="http://schemas.microsoft.com/office/word/2010/wordprocessingShape">
                    <wps:wsp>
                      <wps:cNvSpPr txBox="1"/>
                      <wps:spPr>
                        <a:xfrm>
                          <a:ext cx="682625" cy="6584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70.pt;margin-top:1.pt;width:53.75pt;height:51.85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ONERO s.r.o.</w:t>
      </w:r>
    </w:p>
    <w:p>
      <w:pPr>
        <w:pStyle w:val="Style2"/>
        <w:keepNext w:val="0"/>
        <w:keepLines w:val="0"/>
        <w:widowControl w:val="0"/>
        <w:shd w:val="clear" w:color="auto" w:fill="auto"/>
        <w:bidi w:val="0"/>
        <w:spacing w:before="0" w:after="0" w:line="240" w:lineRule="auto"/>
        <w:ind w:left="2560" w:right="0" w:firstLine="0"/>
        <w:jc w:val="both"/>
      </w:pPr>
      <w:r>
        <w:rPr>
          <w:color w:val="000000"/>
          <w:spacing w:val="0"/>
          <w:w w:val="100"/>
          <w:position w:val="0"/>
          <w:shd w:val="clear" w:color="auto" w:fill="auto"/>
          <w:lang w:val="cs-CZ" w:eastAsia="cs-CZ" w:bidi="cs-CZ"/>
        </w:rPr>
        <w:t>Kosmonautů 477/2, 400 01, Ústí nad Labem 28671457</w:t>
      </w:r>
    </w:p>
    <w:p>
      <w:pPr>
        <w:pStyle w:val="Style2"/>
        <w:keepNext w:val="0"/>
        <w:keepLines w:val="0"/>
        <w:widowControl w:val="0"/>
        <w:shd w:val="clear" w:color="auto" w:fill="auto"/>
        <w:bidi w:val="0"/>
        <w:spacing w:before="0" w:after="300" w:line="240" w:lineRule="auto"/>
        <w:ind w:left="2560" w:right="0" w:firstLine="0"/>
        <w:jc w:val="both"/>
      </w:pPr>
      <w:r>
        <w:rPr>
          <w:color w:val="000000"/>
          <w:spacing w:val="0"/>
          <w:w w:val="100"/>
          <w:position w:val="0"/>
          <w:shd w:val="clear" w:color="auto" w:fill="auto"/>
          <w:lang w:val="cs-CZ" w:eastAsia="cs-CZ" w:bidi="cs-CZ"/>
        </w:rPr>
        <w:t>CZ 28671457</w:t>
      </w:r>
    </w:p>
    <w:p>
      <w:pPr>
        <w:pStyle w:val="Style2"/>
        <w:keepNext w:val="0"/>
        <w:keepLines w:val="0"/>
        <w:widowControl w:val="0"/>
        <w:shd w:val="clear" w:color="auto" w:fill="auto"/>
        <w:bidi w:val="0"/>
        <w:spacing w:before="0" w:after="656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55" w:val="left"/>
        </w:tabs>
        <w:bidi w:val="0"/>
        <w:spacing w:before="0" w:line="240" w:lineRule="auto"/>
        <w:ind w:left="360"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Bělský potok – oprava rovnaniny u č. p. 56 Děčín-Bělá</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55" w:val="left"/>
        </w:tabs>
        <w:bidi w:val="0"/>
        <w:spacing w:before="0" w:line="240" w:lineRule="auto"/>
        <w:ind w:left="360"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oprava poškozené koruny kamenné rovnaniny na levém břehu vodního toku Bělský potok v úseku o délce 23 m v blízkosti rodinného domu na adrese …………….. (ř. km 1,431-1,454).</w:t>
      </w:r>
      <w:bookmarkEnd w:id="10"/>
      <w:bookmarkEnd w:id="7"/>
      <w:bookmarkEnd w:id="8"/>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9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Očištění stávajícího povrchu koruny poškozené rovnaniny v délce 23 m (vegetace, štěrkopísky, zemina) </w:t>
      </w:r>
      <w:r>
        <w:rPr>
          <w:b/>
          <w:bCs/>
          <w:color w:val="000000"/>
          <w:spacing w:val="0"/>
          <w:w w:val="100"/>
          <w:position w:val="0"/>
          <w:shd w:val="clear" w:color="auto" w:fill="auto"/>
          <w:lang w:val="cs-CZ" w:eastAsia="cs-CZ" w:bidi="cs-CZ"/>
        </w:rPr>
        <w:t xml:space="preserve">– celková plocha 7,5 m2 </w:t>
      </w:r>
      <w:r>
        <w:rPr>
          <w:color w:val="000000"/>
          <w:spacing w:val="0"/>
          <w:w w:val="100"/>
          <w:position w:val="0"/>
          <w:shd w:val="clear" w:color="auto" w:fill="auto"/>
          <w:lang w:val="cs-CZ" w:eastAsia="cs-CZ" w:bidi="cs-CZ"/>
        </w:rPr>
        <w:t>(předpoklad možnosti zpětného uložení většiny výkopku na břeh po dokončení opravy rovnaniny)</w:t>
      </w:r>
    </w:p>
    <w:p>
      <w:pPr>
        <w:pStyle w:val="Style2"/>
        <w:keepNext w:val="0"/>
        <w:keepLines w:val="0"/>
        <w:widowControl w:val="0"/>
        <w:shd w:val="clear" w:color="auto" w:fill="auto"/>
        <w:bidi w:val="0"/>
        <w:spacing w:before="0" w:after="0" w:line="276" w:lineRule="auto"/>
        <w:ind w:left="9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Oprava poškozené kamenné rovnaniny, tj. doplnění chybějících kamenů (druh kamene čedič, nejmenší rozměr 0,3 m, včetně vyklínování spár menšími kameny) na korunu rovnaniny v úseku o délce 23 m – </w:t>
      </w:r>
      <w:r>
        <w:rPr>
          <w:b/>
          <w:bCs/>
          <w:color w:val="000000"/>
          <w:spacing w:val="0"/>
          <w:w w:val="100"/>
          <w:position w:val="0"/>
          <w:shd w:val="clear" w:color="auto" w:fill="auto"/>
          <w:lang w:val="cs-CZ" w:eastAsia="cs-CZ" w:bidi="cs-CZ"/>
        </w:rPr>
        <w:t>celkový objem 2,5 m3</w:t>
      </w:r>
    </w:p>
    <w:p>
      <w:pPr>
        <w:pStyle w:val="Style2"/>
        <w:keepNext w:val="0"/>
        <w:keepLines w:val="0"/>
        <w:widowControl w:val="0"/>
        <w:shd w:val="clear" w:color="auto" w:fill="auto"/>
        <w:bidi w:val="0"/>
        <w:spacing w:before="0" w:after="120" w:line="264" w:lineRule="auto"/>
        <w:ind w:left="0" w:right="0" w:firstLine="5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p>
    <w:p>
      <w:pPr>
        <w:pStyle w:val="Style2"/>
        <w:keepNext w:val="0"/>
        <w:keepLines w:val="0"/>
        <w:widowControl w:val="0"/>
        <w:shd w:val="clear" w:color="auto" w:fill="auto"/>
        <w:bidi w:val="0"/>
        <w:spacing w:before="0" w:after="300" w:line="240" w:lineRule="auto"/>
        <w:ind w:left="360" w:right="0" w:firstLine="20"/>
        <w:jc w:val="both"/>
      </w:pPr>
      <w:r>
        <w:rPr>
          <w:color w:val="000000"/>
          <w:spacing w:val="0"/>
          <w:w w:val="100"/>
          <w:position w:val="0"/>
          <w:shd w:val="clear" w:color="auto" w:fill="auto"/>
          <w:lang w:val="cs-CZ" w:eastAsia="cs-CZ" w:bidi="cs-CZ"/>
        </w:rPr>
        <w:t xml:space="preserve">Místo provádění díla: Levý břeh vodního toku Bělá v délce 23 m v blízkosti rodinného domu na adrese Saská 24/56, 405 02 Děčín X-Bělá - </w:t>
      </w:r>
      <w:r>
        <w:rPr>
          <w:b/>
          <w:bCs/>
          <w:color w:val="000000"/>
          <w:spacing w:val="0"/>
          <w:w w:val="100"/>
          <w:position w:val="0"/>
          <w:shd w:val="clear" w:color="auto" w:fill="auto"/>
          <w:lang w:val="cs-CZ" w:eastAsia="cs-CZ" w:bidi="cs-CZ"/>
        </w:rPr>
        <w:t>viz příloha č. 2 – Situace</w:t>
      </w:r>
      <w:r>
        <w:rPr>
          <w:color w:val="000000"/>
          <w:spacing w:val="0"/>
          <w:w w:val="100"/>
          <w:position w:val="0"/>
          <w:shd w:val="clear" w:color="auto" w:fill="auto"/>
          <w:lang w:val="cs-CZ" w:eastAsia="cs-CZ" w:bidi="cs-CZ"/>
        </w:rPr>
        <w:t>. Jedná se o tento pozemek ve správě objednatele: k. ú. Bělá u Děčína - p. p. č. 1286/2</w:t>
      </w:r>
    </w:p>
    <w:p>
      <w:pPr>
        <w:pStyle w:val="Style12"/>
        <w:keepNext/>
        <w:keepLines/>
        <w:widowControl w:val="0"/>
        <w:numPr>
          <w:ilvl w:val="0"/>
          <w:numId w:val="1"/>
        </w:numPr>
        <w:shd w:val="clear" w:color="auto" w:fill="auto"/>
        <w:tabs>
          <w:tab w:pos="355" w:val="left"/>
        </w:tabs>
        <w:bidi w:val="0"/>
        <w:spacing w:before="0" w:line="240" w:lineRule="auto"/>
        <w:ind w:left="360" w:right="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1"/>
      <w:bookmarkEnd w:id="12"/>
      <w:bookmarkEnd w:id="14"/>
    </w:p>
    <w:p>
      <w:pPr>
        <w:pStyle w:val="Style12"/>
        <w:keepNext/>
        <w:keepLines/>
        <w:widowControl w:val="0"/>
        <w:numPr>
          <w:ilvl w:val="0"/>
          <w:numId w:val="1"/>
        </w:numPr>
        <w:shd w:val="clear" w:color="auto" w:fill="auto"/>
        <w:tabs>
          <w:tab w:pos="355"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23"/>
      <w:bookmarkEnd w:id="24"/>
      <w:bookmarkEnd w:id="26"/>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27"/>
      <w:bookmarkEnd w:id="28"/>
      <w:bookmarkEnd w:id="30"/>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31"/>
      <w:bookmarkEnd w:id="32"/>
      <w:bookmarkEnd w:id="34"/>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35"/>
      <w:bookmarkEnd w:id="36"/>
      <w:bookmarkEnd w:id="38"/>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39"/>
      <w:bookmarkEnd w:id="40"/>
      <w:bookmarkEnd w:id="42"/>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43"/>
      <w:bookmarkEnd w:id="44"/>
      <w:bookmarkEnd w:id="46"/>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47"/>
      <w:bookmarkEnd w:id="48"/>
      <w:bookmarkEnd w:id="50"/>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51"/>
      <w:bookmarkEnd w:id="52"/>
      <w:bookmarkEnd w:id="54"/>
    </w:p>
    <w:p>
      <w:pPr>
        <w:pStyle w:val="Style12"/>
        <w:keepNext/>
        <w:keepLines/>
        <w:widowControl w:val="0"/>
        <w:numPr>
          <w:ilvl w:val="0"/>
          <w:numId w:val="3"/>
        </w:numPr>
        <w:shd w:val="clear" w:color="auto" w:fill="auto"/>
        <w:tabs>
          <w:tab w:pos="740" w:val="left"/>
        </w:tabs>
        <w:bidi w:val="0"/>
        <w:spacing w:before="0" w:after="0" w:line="240" w:lineRule="auto"/>
        <w:ind w:left="720" w:right="0" w:hanging="34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a podle Plánu bezpečnosti a ochrany zdraví při práci na staveništi,</w:t>
      </w:r>
      <w:bookmarkEnd w:id="55"/>
      <w:bookmarkEnd w:id="56"/>
      <w:bookmarkEnd w:id="58"/>
    </w:p>
    <w:p>
      <w:pPr>
        <w:pStyle w:val="Style2"/>
        <w:keepNext w:val="0"/>
        <w:keepLines w:val="0"/>
        <w:widowControl w:val="0"/>
        <w:numPr>
          <w:ilvl w:val="0"/>
          <w:numId w:val="3"/>
        </w:numPr>
        <w:shd w:val="clear" w:color="auto" w:fill="auto"/>
        <w:tabs>
          <w:tab w:pos="740" w:val="left"/>
        </w:tabs>
        <w:bidi w:val="0"/>
        <w:spacing w:before="0" w:after="0" w:line="240" w:lineRule="auto"/>
        <w:ind w:left="720" w:right="0" w:hanging="340"/>
        <w:jc w:val="both"/>
      </w:pPr>
      <w:bookmarkStart w:id="59" w:name="bookmark59"/>
      <w:bookmarkStart w:id="60" w:name="bookmark60"/>
      <w:bookmarkEnd w:id="59"/>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w:t>
      </w:r>
      <w:bookmarkEnd w:id="6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12"/>
        <w:keepNext/>
        <w:keepLines/>
        <w:widowControl w:val="0"/>
        <w:numPr>
          <w:ilvl w:val="0"/>
          <w:numId w:val="3"/>
        </w:numPr>
        <w:shd w:val="clear" w:color="auto" w:fill="auto"/>
        <w:tabs>
          <w:tab w:pos="670" w:val="left"/>
        </w:tabs>
        <w:bidi w:val="0"/>
        <w:spacing w:before="0" w:line="240" w:lineRule="auto"/>
        <w:ind w:left="0" w:right="0" w:firstLine="36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plnění podmínek pro stavbu vydaných stanovisek a rozhodnutí správních orgánů</w:t>
      </w:r>
      <w:bookmarkEnd w:id="61"/>
      <w:bookmarkEnd w:id="62"/>
      <w:bookmarkEnd w:id="64"/>
    </w:p>
    <w:p>
      <w:pPr>
        <w:pStyle w:val="Style12"/>
        <w:keepNext/>
        <w:keepLines/>
        <w:widowControl w:val="0"/>
        <w:numPr>
          <w:ilvl w:val="0"/>
          <w:numId w:val="1"/>
        </w:numPr>
        <w:shd w:val="clear" w:color="auto" w:fill="auto"/>
        <w:tabs>
          <w:tab w:pos="363" w:val="left"/>
        </w:tabs>
        <w:bidi w:val="0"/>
        <w:spacing w:before="0" w:line="240" w:lineRule="auto"/>
        <w:ind w:left="360" w:right="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5"/>
      <w:bookmarkEnd w:id="66"/>
      <w:bookmarkEnd w:id="68"/>
    </w:p>
    <w:p>
      <w:pPr>
        <w:pStyle w:val="Style12"/>
        <w:keepNext/>
        <w:keepLines/>
        <w:widowControl w:val="0"/>
        <w:numPr>
          <w:ilvl w:val="0"/>
          <w:numId w:val="1"/>
        </w:numPr>
        <w:shd w:val="clear" w:color="auto" w:fill="auto"/>
        <w:tabs>
          <w:tab w:pos="363" w:val="left"/>
        </w:tabs>
        <w:bidi w:val="0"/>
        <w:spacing w:before="0" w:line="240" w:lineRule="auto"/>
        <w:ind w:left="360"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9"/>
      <w:bookmarkEnd w:id="70"/>
      <w:bookmarkEnd w:id="72"/>
    </w:p>
    <w:p>
      <w:pPr>
        <w:pStyle w:val="Style12"/>
        <w:keepNext/>
        <w:keepLines/>
        <w:widowControl w:val="0"/>
        <w:numPr>
          <w:ilvl w:val="0"/>
          <w:numId w:val="1"/>
        </w:numPr>
        <w:shd w:val="clear" w:color="auto" w:fill="auto"/>
        <w:tabs>
          <w:tab w:pos="363" w:val="left"/>
        </w:tabs>
        <w:bidi w:val="0"/>
        <w:spacing w:before="0" w:line="240" w:lineRule="auto"/>
        <w:ind w:left="360"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Objednatel předá zhotoviteli staveniště (nebo jeho ucelenou část) prosté práv třetích osob. Předání staveniště zhotoviteli bude objednatelem provedeno až po splnění, a prokazatelném doložení, všech potřebných legislativních povinností zhotovitele, nutných k zajištění před předáním staveniště.</w:t>
      </w:r>
      <w:bookmarkEnd w:id="73"/>
      <w:bookmarkEnd w:id="74"/>
      <w:bookmarkEnd w:id="7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63" w:val="left"/>
        </w:tabs>
        <w:bidi w:val="0"/>
        <w:spacing w:before="0" w:line="240" w:lineRule="auto"/>
        <w:ind w:left="0" w:right="0" w:firstLine="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Smluvní strany se dohodly na následujících lhůtách a podmínkách pro realizaci díla.</w:t>
      </w:r>
      <w:bookmarkEnd w:id="77"/>
      <w:bookmarkEnd w:id="78"/>
      <w:bookmarkEnd w:id="80"/>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78" w:val="left"/>
        </w:tabs>
        <w:bidi w:val="0"/>
        <w:spacing w:before="0" w:line="240" w:lineRule="auto"/>
        <w:ind w:left="0" w:right="0" w:firstLine="300"/>
        <w:jc w:val="both"/>
      </w:pPr>
      <w:bookmarkStart w:id="81" w:name="bookmark81"/>
      <w:bookmarkEnd w:id="81"/>
      <w:r>
        <w:rPr>
          <w:b/>
          <w:bCs/>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 xml:space="preserve">Zhotovitel je povinen si převzít staveniště nejpozději do 7 dnů od písemné výzvy TDI Výzva bude odeslána na e-mail zhotovitele: </w:t>
      </w:r>
      <w:r>
        <w:fldChar w:fldCharType="begin"/>
      </w:r>
      <w:r>
        <w:rPr/>
        <w:instrText> HYPERLINK "mailto:onero@onero.cz" </w:instrText>
      </w:r>
      <w:r>
        <w:fldChar w:fldCharType="separate"/>
      </w:r>
      <w:r>
        <w:rPr>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7"/>
        </w:numPr>
        <w:shd w:val="clear" w:color="auto" w:fill="auto"/>
        <w:tabs>
          <w:tab w:pos="687" w:val="left"/>
        </w:tabs>
        <w:bidi w:val="0"/>
        <w:spacing w:before="0" w:line="240" w:lineRule="auto"/>
        <w:ind w:left="0" w:right="0" w:firstLine="300"/>
        <w:jc w:val="both"/>
      </w:pPr>
      <w:bookmarkStart w:id="82" w:name="bookmark82"/>
      <w:bookmarkEnd w:id="82"/>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7"/>
        </w:numPr>
        <w:shd w:val="clear" w:color="auto" w:fill="auto"/>
        <w:tabs>
          <w:tab w:pos="687" w:val="left"/>
        </w:tabs>
        <w:bidi w:val="0"/>
        <w:spacing w:before="0" w:line="240" w:lineRule="auto"/>
        <w:ind w:left="0" w:right="0" w:firstLine="300"/>
        <w:jc w:val="both"/>
      </w:pPr>
      <w:bookmarkStart w:id="83" w:name="bookmark83"/>
      <w:bookmarkEnd w:id="83"/>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Nejpozději do 30.8.2024</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do původního stavu nebo do stavu, který odsouhlasí TDI.</w:t>
      </w:r>
    </w:p>
    <w:p>
      <w:pPr>
        <w:pStyle w:val="Style12"/>
        <w:keepNext/>
        <w:keepLines/>
        <w:widowControl w:val="0"/>
        <w:numPr>
          <w:ilvl w:val="0"/>
          <w:numId w:val="5"/>
        </w:numPr>
        <w:shd w:val="clear" w:color="auto" w:fill="auto"/>
        <w:tabs>
          <w:tab w:pos="363" w:val="left"/>
        </w:tabs>
        <w:bidi w:val="0"/>
        <w:spacing w:before="0" w:line="240" w:lineRule="auto"/>
        <w:ind w:left="360"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84"/>
      <w:bookmarkEnd w:id="85"/>
      <w:bookmarkEnd w:id="87"/>
    </w:p>
    <w:p>
      <w:pPr>
        <w:pStyle w:val="Style12"/>
        <w:keepNext/>
        <w:keepLines/>
        <w:widowControl w:val="0"/>
        <w:numPr>
          <w:ilvl w:val="0"/>
          <w:numId w:val="5"/>
        </w:numPr>
        <w:shd w:val="clear" w:color="auto" w:fill="auto"/>
        <w:tabs>
          <w:tab w:pos="363" w:val="left"/>
        </w:tabs>
        <w:bidi w:val="0"/>
        <w:spacing w:before="0" w:line="240" w:lineRule="auto"/>
        <w:ind w:left="360"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8"/>
      <w:bookmarkEnd w:id="89"/>
      <w:bookmarkEnd w:id="91"/>
    </w:p>
    <w:p>
      <w:pPr>
        <w:pStyle w:val="Style12"/>
        <w:keepNext/>
        <w:keepLines/>
        <w:widowControl w:val="0"/>
        <w:numPr>
          <w:ilvl w:val="0"/>
          <w:numId w:val="5"/>
        </w:numPr>
        <w:shd w:val="clear" w:color="auto" w:fill="auto"/>
        <w:tabs>
          <w:tab w:pos="363" w:val="left"/>
        </w:tabs>
        <w:bidi w:val="0"/>
        <w:spacing w:before="0" w:line="240" w:lineRule="auto"/>
        <w:ind w:left="360"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92"/>
      <w:bookmarkEnd w:id="93"/>
      <w:bookmarkEnd w:id="9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63" w:val="left"/>
        </w:tabs>
        <w:bidi w:val="0"/>
        <w:spacing w:before="0" w:line="240" w:lineRule="auto"/>
        <w:ind w:left="360" w:right="0" w:hanging="360"/>
        <w:jc w:val="both"/>
      </w:pPr>
      <w:bookmarkStart w:id="96" w:name="bookmark96"/>
      <w:bookmarkEnd w:id="9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63" w:val="left"/>
        </w:tabs>
        <w:bidi w:val="0"/>
        <w:spacing w:before="0" w:line="240" w:lineRule="auto"/>
        <w:ind w:left="360" w:right="0" w:hanging="360"/>
        <w:jc w:val="both"/>
      </w:pPr>
      <w:bookmarkStart w:id="97" w:name="bookmark97"/>
      <w:bookmarkEnd w:id="9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63" w:val="left"/>
        </w:tabs>
        <w:bidi w:val="0"/>
        <w:spacing w:before="0" w:line="240" w:lineRule="auto"/>
        <w:ind w:left="360" w:right="0" w:hanging="360"/>
        <w:jc w:val="both"/>
      </w:pPr>
      <w:bookmarkStart w:id="98" w:name="bookmark98"/>
      <w:bookmarkEnd w:id="9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432" w:val="left"/>
        </w:tabs>
        <w:bidi w:val="0"/>
        <w:spacing w:before="0" w:line="240" w:lineRule="auto"/>
        <w:ind w:left="0" w:right="0" w:firstLine="360"/>
        <w:jc w:val="both"/>
      </w:pPr>
      <w:r>
        <w:rPr>
          <w:b/>
          <w:bCs/>
          <w:color w:val="000000"/>
          <w:spacing w:val="0"/>
          <w:w w:val="100"/>
          <w:position w:val="0"/>
          <w:shd w:val="clear" w:color="auto" w:fill="auto"/>
          <w:lang w:val="cs-CZ" w:eastAsia="cs-CZ" w:bidi="cs-CZ"/>
        </w:rPr>
        <w:t>Cena díla:</w:t>
        <w:tab/>
        <w:t>68.000,00 Kč bez DPH</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99" w:name="bookmark99"/>
      <w:bookmarkEnd w:id="99"/>
      <w:r>
        <w:rPr>
          <w:color w:val="000000"/>
          <w:spacing w:val="0"/>
          <w:w w:val="100"/>
          <w:position w:val="0"/>
          <w:shd w:val="clear" w:color="auto" w:fill="auto"/>
          <w:lang w:val="cs-CZ" w:eastAsia="cs-CZ" w:bidi="cs-CZ"/>
        </w:rPr>
        <w:t xml:space="preserve">Smluvní strany výslovně prohlašují, že touto smlouvou sjednaná cena za provedení díla není </w:t>
      </w:r>
      <w:r>
        <w:rPr>
          <w:color w:val="000000"/>
          <w:spacing w:val="0"/>
          <w:w w:val="100"/>
          <w:position w:val="0"/>
          <w:shd w:val="clear" w:color="auto" w:fill="auto"/>
          <w:lang w:val="cs-CZ" w:eastAsia="cs-CZ" w:bidi="cs-CZ"/>
        </w:rPr>
        <w:t>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4" w:val="left"/>
        </w:tabs>
        <w:bidi w:val="0"/>
        <w:spacing w:before="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4" w:val="left"/>
        </w:tabs>
        <w:bidi w:val="0"/>
        <w:spacing w:before="0" w:after="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11"/>
        </w:numPr>
        <w:shd w:val="clear" w:color="auto" w:fill="auto"/>
        <w:tabs>
          <w:tab w:pos="374"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4"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74"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4" w:val="left"/>
        </w:tabs>
        <w:bidi w:val="0"/>
        <w:spacing w:before="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4"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1.000,- Kč za každý případ.</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4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34" w:val="left"/>
        </w:tabs>
        <w:bidi w:val="0"/>
        <w:spacing w:before="0" w:line="240" w:lineRule="auto"/>
        <w:ind w:left="440" w:right="0" w:hanging="440"/>
        <w:jc w:val="both"/>
      </w:pPr>
      <w:bookmarkStart w:id="117" w:name="bookmark117"/>
      <w:bookmarkEnd w:id="11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64" w:val="left"/>
        </w:tabs>
        <w:bidi w:val="0"/>
        <w:spacing w:before="0" w:line="240" w:lineRule="auto"/>
        <w:ind w:left="0" w:right="0" w:firstLine="0"/>
        <w:jc w:val="both"/>
      </w:pPr>
      <w:bookmarkStart w:id="118" w:name="bookmark118"/>
      <w:bookmarkEnd w:id="118"/>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1006" w:val="left"/>
        </w:tabs>
        <w:bidi w:val="0"/>
        <w:spacing w:before="0" w:after="0" w:line="240" w:lineRule="auto"/>
        <w:ind w:left="0" w:right="0" w:firstLine="440"/>
        <w:jc w:val="both"/>
      </w:pPr>
      <w:bookmarkStart w:id="119" w:name="bookmark119"/>
      <w:bookmarkEnd w:id="119"/>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1006" w:val="left"/>
        </w:tabs>
        <w:bidi w:val="0"/>
        <w:spacing w:before="0" w:after="0" w:line="240" w:lineRule="auto"/>
        <w:ind w:left="1020" w:right="0" w:hanging="580"/>
        <w:jc w:val="both"/>
      </w:pPr>
      <w:bookmarkStart w:id="120" w:name="bookmark120"/>
      <w:bookmarkEnd w:id="12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1006" w:val="left"/>
        </w:tabs>
        <w:bidi w:val="0"/>
        <w:spacing w:before="0" w:line="240" w:lineRule="auto"/>
        <w:ind w:left="1020" w:right="0" w:hanging="580"/>
        <w:jc w:val="both"/>
      </w:pPr>
      <w:bookmarkStart w:id="121" w:name="bookmark121"/>
      <w:bookmarkEnd w:id="12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4"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4"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64"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64"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64"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64" w:val="left"/>
        </w:tabs>
        <w:bidi w:val="0"/>
        <w:spacing w:before="0" w:line="240" w:lineRule="auto"/>
        <w:ind w:right="0" w:hanging="38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7"/>
      <w:bookmarkEnd w:id="128"/>
      <w:bookmarkEnd w:id="13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shd w:val="clear" w:color="auto" w:fill="auto"/>
        <w:bidi w:val="0"/>
        <w:spacing w:before="0" w:after="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46" w:val="left"/>
        </w:tabs>
        <w:bidi w:val="0"/>
        <w:spacing w:before="0" w:after="0" w:line="240" w:lineRule="auto"/>
        <w:ind w:left="1160"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33"/>
      <w:bookmarkEnd w:id="134"/>
      <w:bookmarkEnd w:id="136"/>
    </w:p>
    <w:p>
      <w:pPr>
        <w:pStyle w:val="Style12"/>
        <w:keepNext/>
        <w:keepLines/>
        <w:widowControl w:val="0"/>
        <w:numPr>
          <w:ilvl w:val="0"/>
          <w:numId w:val="25"/>
        </w:numPr>
        <w:shd w:val="clear" w:color="auto" w:fill="auto"/>
        <w:tabs>
          <w:tab w:pos="1146" w:val="left"/>
        </w:tabs>
        <w:bidi w:val="0"/>
        <w:spacing w:before="0" w:after="0" w:line="240" w:lineRule="auto"/>
        <w:ind w:left="1160"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bezdůvodném přerušení prací zhotovitelem, které trvá více než 14 dnů,</w:t>
      </w:r>
      <w:bookmarkEnd w:id="137"/>
      <w:bookmarkEnd w:id="138"/>
      <w:bookmarkEnd w:id="140"/>
    </w:p>
    <w:p>
      <w:pPr>
        <w:pStyle w:val="Style12"/>
        <w:keepNext/>
        <w:keepLines/>
        <w:widowControl w:val="0"/>
        <w:numPr>
          <w:ilvl w:val="0"/>
          <w:numId w:val="25"/>
        </w:numPr>
        <w:shd w:val="clear" w:color="auto" w:fill="auto"/>
        <w:tabs>
          <w:tab w:pos="1146" w:val="left"/>
        </w:tabs>
        <w:bidi w:val="0"/>
        <w:spacing w:before="0" w:after="0" w:line="240" w:lineRule="auto"/>
        <w:ind w:left="1160"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41"/>
      <w:bookmarkEnd w:id="142"/>
      <w:bookmarkEnd w:id="144"/>
    </w:p>
    <w:p>
      <w:pPr>
        <w:pStyle w:val="Style12"/>
        <w:keepNext/>
        <w:keepLines/>
        <w:widowControl w:val="0"/>
        <w:numPr>
          <w:ilvl w:val="0"/>
          <w:numId w:val="25"/>
        </w:numPr>
        <w:shd w:val="clear" w:color="auto" w:fill="auto"/>
        <w:tabs>
          <w:tab w:pos="1146" w:val="left"/>
        </w:tabs>
        <w:bidi w:val="0"/>
        <w:spacing w:before="0" w:line="240" w:lineRule="auto"/>
        <w:ind w:left="0" w:right="0" w:firstLine="80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neplněním povinností zhotovitele vést řádně zápisy do stavebního deníku.</w:t>
      </w:r>
      <w:bookmarkEnd w:id="145"/>
      <w:bookmarkEnd w:id="146"/>
      <w:bookmarkEnd w:id="148"/>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51" w:name="bookmark151"/>
      <w:bookmarkEnd w:id="151"/>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20"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p>
    <w:p>
      <w:pPr>
        <w:pStyle w:val="Style2"/>
        <w:keepNext w:val="0"/>
        <w:keepLines w:val="0"/>
        <w:widowControl w:val="0"/>
        <w:numPr>
          <w:ilvl w:val="0"/>
          <w:numId w:val="23"/>
        </w:numPr>
        <w:shd w:val="clear" w:color="auto" w:fill="auto"/>
        <w:tabs>
          <w:tab w:pos="420" w:val="left"/>
        </w:tabs>
        <w:bidi w:val="0"/>
        <w:spacing w:before="0" w:line="240" w:lineRule="auto"/>
        <w:ind w:left="0" w:right="0" w:firstLine="0"/>
        <w:jc w:val="both"/>
      </w:pPr>
      <w:bookmarkStart w:id="157" w:name="bookmark157"/>
      <w:bookmarkEnd w:id="157"/>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20" w:val="left"/>
        </w:tabs>
        <w:bidi w:val="0"/>
        <w:spacing w:before="0" w:line="288" w:lineRule="auto"/>
        <w:ind w:left="380" w:right="0" w:hanging="380"/>
        <w:jc w:val="both"/>
      </w:pPr>
      <w:bookmarkStart w:id="158" w:name="bookmark158"/>
      <w:bookmarkEnd w:id="15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78" w:val="left"/>
        </w:tabs>
        <w:bidi w:val="0"/>
        <w:spacing w:before="0" w:line="240" w:lineRule="auto"/>
        <w:ind w:left="380" w:right="0" w:hanging="380"/>
        <w:jc w:val="left"/>
      </w:pPr>
      <w:bookmarkStart w:id="159" w:name="bookmark159"/>
      <w:bookmarkEnd w:id="15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78" w:val="left"/>
        </w:tabs>
        <w:bidi w:val="0"/>
        <w:spacing w:before="0" w:line="240" w:lineRule="auto"/>
        <w:ind w:left="380" w:right="0" w:hanging="380"/>
        <w:jc w:val="left"/>
      </w:pPr>
      <w:bookmarkStart w:id="160" w:name="bookmark160"/>
      <w:bookmarkEnd w:id="16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00" w:line="240" w:lineRule="auto"/>
        <w:ind w:left="0" w:right="0" w:firstLine="3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380"/>
        <w:jc w:val="both"/>
        <w:sectPr>
          <w:headerReference w:type="default" r:id="rId5"/>
          <w:footerReference w:type="default" r:id="rId6"/>
          <w:footnotePr>
            <w:pos w:val="pageBottom"/>
            <w:numFmt w:val="decimal"/>
            <w:numRestart w:val="continuous"/>
          </w:footnotePr>
          <w:pgSz w:w="11909" w:h="16838"/>
          <w:pgMar w:top="1098" w:left="1391" w:right="1388" w:bottom="1258"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4088130</wp:posOffset>
                </wp:positionH>
                <wp:positionV relativeFrom="paragraph">
                  <wp:posOffset>12700</wp:posOffset>
                </wp:positionV>
                <wp:extent cx="1115695" cy="210185"/>
                <wp:wrapSquare wrapText="left"/>
                <wp:docPr id="9" name="Shape 9"/>
                <a:graphic xmlns:a="http://schemas.openxmlformats.org/drawingml/2006/main">
                  <a:graphicData uri="http://schemas.microsoft.com/office/word/2010/wordprocessingShape">
                    <wps:wsp>
                      <wps:cNvSpPr txBox="1"/>
                      <wps:spPr>
                        <a:xfrm>
                          <a:ext cx="111569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90000000000003pt;margin-top:1.pt;width:87.850000000000009pt;height:16.55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1" w:after="4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754" w:right="2618" w:bottom="1166" w:header="0" w:footer="3" w:gutter="0"/>
          <w:cols w:num="2" w:space="1729"/>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166" w:left="1754" w:right="2618" w:bottom="1166" w:header="0" w:footer="3" w:gutter="0"/>
      <w:cols w:num="2" w:space="172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9956800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33" type="#_x0000_t202" style="position:absolute;margin-left:472.pt;margin-top:784.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5653405</wp:posOffset>
              </wp:positionH>
              <wp:positionV relativeFrom="page">
                <wp:posOffset>407670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5000000000003pt;margin-top:32.10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6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80" w:hanging="360"/>
      <w:outlineLvl w:val="0"/>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640" w:line="233" w:lineRule="auto"/>
      <w:jc w:val="center"/>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