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 SOD 1345/2023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1345/2023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657" w:left="1116" w:right="1384" w:bottom="1479" w:header="229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45440" distB="0" distL="0" distR="0" simplePos="0" relativeHeight="125829378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345440</wp:posOffset>
                </wp:positionV>
                <wp:extent cx="2444750" cy="21577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4750" cy="2157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VT Lobezský potok – Sokolov –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Tato smlouva byla uzavřena mezi: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smluvních: oprávněn jednat o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objednatele: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9.25pt;margin-top:27.199999999999999pt;width:192.5pt;height:169.90000000000001pt;z-index:-125829375;mso-wrap-distance-left:0;mso-wrap-distance-top:27.1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3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VT Lobezský potok – Sokolov –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Tato smlouva byla uzavřena mezi: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smluvních: oprávněn jednat o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" distB="1920240" distL="0" distR="0" simplePos="0" relativeHeight="125829380" behindDoc="0" locked="0" layoutInCell="1" allowOverlap="1">
                <wp:simplePos x="0" y="0"/>
                <wp:positionH relativeFrom="page">
                  <wp:posOffset>3053715</wp:posOffset>
                </wp:positionH>
                <wp:positionV relativeFrom="paragraph">
                  <wp:posOffset>25400</wp:posOffset>
                </wp:positionV>
                <wp:extent cx="2721610" cy="5575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21610" cy="557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Název díla: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úprava toku - studie proveditelnosti (SP)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0.45000000000002pt;margin-top:2.pt;width:214.30000000000001pt;height:43.899999999999999pt;z-index:-125829373;mso-wrap-distance-left:0;mso-wrap-distance-top:2.pt;mso-wrap-distance-right:0;mso-wrap-distance-bottom:151.2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6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díla: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úprava toku - studie proveditelnosti (SP)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88695" distB="801370" distL="0" distR="0" simplePos="0" relativeHeight="125829382" behindDoc="0" locked="0" layoutInCell="1" allowOverlap="1">
                <wp:simplePos x="0" y="0"/>
                <wp:positionH relativeFrom="page">
                  <wp:posOffset>3446780</wp:posOffset>
                </wp:positionH>
                <wp:positionV relativeFrom="paragraph">
                  <wp:posOffset>988695</wp:posOffset>
                </wp:positionV>
                <wp:extent cx="2221865" cy="71310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1865" cy="713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 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71.39999999999998pt;margin-top:77.850000000000009pt;width:174.95000000000002pt;height:56.149999999999999pt;z-index:-125829371;mso-wrap-distance-left:0;mso-wrap-distance-top:77.850000000000009pt;mso-wrap-distance-right:0;mso-wrap-distance-bottom:63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 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37" w:left="0" w:right="0" w:bottom="150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77800" distB="0" distL="0" distR="0" simplePos="0" relativeHeight="125829384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177800</wp:posOffset>
                </wp:positionV>
                <wp:extent cx="1969135" cy="7099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9135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zástupce ve věcech smluvních: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3.200000000000003pt;margin-top:14.pt;width:155.05000000000001pt;height:55.899999999999999pt;z-index:-125829369;mso-wrap-distance-left:0;mso-wrap-distance-top:1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zástupce ve věcech smluvních: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7800" distB="158115" distL="0" distR="0" simplePos="0" relativeHeight="125829386" behindDoc="0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177800</wp:posOffset>
                </wp:positionV>
                <wp:extent cx="1920240" cy="55181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0240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EnviHydro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Chotilsko 32, 262 03 Chotilsko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17485509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71.19999999999999pt;margin-top:14.pt;width:151.20000000000002pt;height:43.450000000000003pt;z-index:-125829367;mso-wrap-distance-left:0;mso-wrap-distance-top:14.pt;mso-wrap-distance-right:0;mso-wrap-distance-bottom:12.4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EnviHydro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Chotilsko 32, 262 03 Chotilsko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17485509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60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</w:t>
        <w:tab/>
        <w:t>C 372324 vedená u Městského soudu v Praze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zmocnění trvá až do písemného odvolání.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86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64" w:lineRule="auto"/>
        <w:ind w:left="0" w:right="0" w:firstLine="60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k SOD 1345/2023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Tento dodatek je uzavírán z důvodu: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odkladu geodetického zaměření, které nebylo možno realizovat v plánovaném období z důvodu zvýšených průtoků v korytě Lobezského potoka. Odložení termínu je též způsobeno časovou náročností při procesu tvorby a projednání modelu zahrnující variantu současného stavu se stromy i variantu bez stromů, dle zjištěného byl následně proveden návrh úprav.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III. Termín plnění: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TERMÍNY PLNĚNÍ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 SP (2 x tištěné + 1 x 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30.06.2024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SP (1 x tištěné + 1 x elektronicky): po schválení v investiční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69" w:val="left"/>
        </w:tabs>
        <w:bidi w:val="0"/>
        <w:spacing w:before="0" w:after="7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komisi (dále jen IK PŘ):</w:t>
        <w:tab/>
        <w:t>14 dní po schválení v investiční komisi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- předání kompletní SP (2 x tištěné + 1 x elektronicky) po projednání na ZVV: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1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27.09.2024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SP (1 x tištěné + 1 x elektronicky): po schválení v investiční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969" w:val="left"/>
        </w:tabs>
        <w:bidi w:val="0"/>
        <w:spacing w:before="0" w:after="72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komisi (dále jen IK PŘ):</w:t>
        <w:tab/>
        <w:t>14 dní po schválení v investiční komisi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Čl. III. smlouvy o dílo se nemění.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200" w:line="240" w:lineRule="auto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440" w:line="240" w:lineRule="auto"/>
        <w:ind w:left="380" w:right="0" w:hanging="38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200" w:line="240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7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 SOD 1345/2023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440" w:line="276" w:lineRule="auto"/>
        <w:ind w:left="440" w:right="0" w:hanging="44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37" w:left="1185" w:right="1314" w:bottom="1500" w:header="209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3986530</wp:posOffset>
                </wp:positionH>
                <wp:positionV relativeFrom="paragraph">
                  <wp:posOffset>12700</wp:posOffset>
                </wp:positionV>
                <wp:extent cx="1029970" cy="22542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Chotilsku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3.90000000000003pt;margin-top:1.pt;width:81.100000000000009pt;height:17.7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Chotilsku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0" w:right="0" w:bottom="14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EnviHydro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57" w:left="1821" w:right="2363" w:bottom="1420" w:header="0" w:footer="3" w:gutter="0"/>
          <w:cols w:num="2" w:space="133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57" w:left="1821" w:right="2363" w:bottom="1420" w:header="0" w:footer="3" w:gutter="0"/>
      <w:cols w:num="2" w:space="133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6035040</wp:posOffset>
              </wp:positionH>
              <wp:positionV relativeFrom="page">
                <wp:posOffset>9803130</wp:posOffset>
              </wp:positionV>
              <wp:extent cx="673735" cy="1644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5.19999999999999pt;margin-top:771.89999999999998pt;width:53.050000000000004pt;height:12.9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