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5"/>
          <w:b/>
          <w:bCs/>
        </w:rPr>
        <w:t>■ Česká průmyslová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/>
        <w:jc w:val="left"/>
      </w:pPr>
      <w:r>
        <w:rPr>
          <w:rStyle w:val="CharStyle5"/>
          <w:b/>
          <w:bCs/>
        </w:rPr>
        <w:t>► zdravotní pojišťovna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0" w:name="bookmark0"/>
      <w:r>
        <w:rPr>
          <w:rStyle w:val="CharStyle10"/>
        </w:rPr>
        <w:t>llllllll lilii lili lilii lilii I lilii 1</w:t>
      </w:r>
      <w:bookmarkEnd w:id="0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12"/>
          <w:b/>
          <w:bCs/>
        </w:rPr>
        <w:t>*CU2400024403*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r>
        <w:rPr>
          <w:rStyle w:val="CharStyle14"/>
          <w:b/>
          <w:bCs/>
        </w:rPr>
        <w:t>Dodatek č. CU/1/2024 Smlouvy o poskytování a úhradě ošetřovatelské a rehabilitační péče</w:t>
        <w:br/>
        <w:t>Dohoda o ceně - varianta 7S - sociální služby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</w:pPr>
      <w:r>
        <w:rPr>
          <w:rStyle w:val="CharStyle14"/>
        </w:rPr>
        <w:t>(dále jen „Dohoda o ceně")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0" w:line="252" w:lineRule="auto"/>
        <w:ind w:left="0" w:right="0" w:firstLine="0"/>
        <w:jc w:val="center"/>
      </w:pPr>
      <w:r>
        <w:rPr>
          <w:rStyle w:val="CharStyle14"/>
          <w:b/>
          <w:bCs/>
        </w:rPr>
        <w:t>uzavřený mezi smluvními stranami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10" w:right="0" w:firstLine="0"/>
        <w:jc w:val="left"/>
      </w:pPr>
      <w:r>
        <w:rPr>
          <w:rStyle w:val="CharStyle17"/>
          <w:b/>
          <w:bCs/>
        </w:rPr>
        <w:t>Poskytovatelem zdravotních služeb</w:t>
      </w:r>
    </w:p>
    <w:tbl>
      <w:tblPr>
        <w:tblOverlap w:val="never"/>
        <w:jc w:val="left"/>
        <w:tblLayout w:type="fixed"/>
      </w:tblPr>
      <w:tblGrid>
        <w:gridCol w:w="2554"/>
        <w:gridCol w:w="6115"/>
      </w:tblGrid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název: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9"/>
                <w:b/>
                <w:bCs/>
              </w:rPr>
              <w:t>Domov pro osoby se zdravotním postižením "SOKOLÍK" v Sokolově,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b/>
                <w:bCs/>
              </w:rPr>
              <w:t xml:space="preserve">příspěvková organizace </w:t>
            </w:r>
            <w:r>
              <w:rPr>
                <w:rStyle w:val="CharStyle19"/>
              </w:rPr>
              <w:t>se sídlem: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9"/>
                <w:b/>
                <w:bCs/>
              </w:rPr>
              <w:t>Slavíčkova 1701, 35601 Sokolov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zastoupeným: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9"/>
                <w:b/>
                <w:bCs/>
              </w:rPr>
              <w:t>Mgr. Petrou Blažkovou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zápis ve veřejném rejstříku: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9"/>
                <w:b/>
                <w:bCs/>
              </w:rPr>
              <w:t>vedeném Krajským soudem v Plzni, oddíl Pr, vložka 728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IČO / IČZ: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9"/>
                <w:b/>
                <w:bCs/>
              </w:rPr>
              <w:t>72046881/48807000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bankovní spojení: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(dále jen „Poskytovatel")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9"/>
                <w:b/>
                <w:bCs/>
              </w:rPr>
              <w:t>Československá obchodní banka, a. s., č.ú.: 0 - 0268644536/0300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17"/>
          <w:b/>
          <w:bCs/>
        </w:rPr>
        <w:t>a</w:t>
      </w:r>
    </w:p>
    <w:p>
      <w:pPr>
        <w:widowControl w:val="0"/>
        <w:spacing w:after="39" w:line="1" w:lineRule="exact"/>
      </w:pPr>
    </w:p>
    <w:p>
      <w:pPr>
        <w:widowControl w:val="0"/>
        <w:spacing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  <w:b/>
          <w:bCs/>
        </w:rPr>
        <w:t>Českou průmyslovou zdravotní pojišťovnou</w:t>
      </w:r>
    </w:p>
    <w:tbl>
      <w:tblPr>
        <w:tblOverlap w:val="never"/>
        <w:jc w:val="left"/>
        <w:tblLayout w:type="fixed"/>
      </w:tblPr>
      <w:tblGrid>
        <w:gridCol w:w="2554"/>
        <w:gridCol w:w="5568"/>
      </w:tblGrid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se sídlem: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</w:pPr>
            <w:r>
              <w:rPr>
                <w:rStyle w:val="CharStyle19"/>
                <w:b/>
                <w:bCs/>
              </w:rPr>
              <w:t>Jeremenkova 161/11, Ostrava - Vítkovice, PSČ 703 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zastoupenou: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</w:pPr>
            <w:r>
              <w:rPr>
                <w:rStyle w:val="CharStyle19"/>
                <w:b/>
                <w:bCs/>
              </w:rPr>
              <w:t>Ing. Vladimírem Mattou, generálním ředitelem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zápis ve veřejném rejstříku: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</w:pPr>
            <w:r>
              <w:rPr>
                <w:rStyle w:val="CharStyle19"/>
                <w:b/>
                <w:bCs/>
              </w:rPr>
              <w:t>vedeném Krajským soudem v Ostravě, oddíl AXIV, vložka 545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telefon: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left"/>
            </w:pPr>
            <w:r>
              <w:rPr>
                <w:rStyle w:val="CharStyle19"/>
                <w:b/>
                <w:bCs/>
              </w:rPr>
              <w:t>+ 420 810 800 000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9"/>
              </w:rPr>
              <w:t>email: IČO: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160" w:right="0" w:firstLine="20"/>
              <w:jc w:val="left"/>
            </w:pPr>
            <w:r>
              <w:fldChar w:fldCharType="begin"/>
            </w:r>
            <w:r>
              <w:rPr/>
              <w:instrText> HYPERLINK "mailto:smlouvy@cpzp.cz" </w:instrText>
            </w:r>
            <w:r>
              <w:fldChar w:fldCharType="separate"/>
            </w:r>
            <w:r>
              <w:rPr>
                <w:rStyle w:val="CharStyle19"/>
                <w:b/>
                <w:bCs/>
                <w:lang w:val="en-US" w:eastAsia="en-US"/>
              </w:rPr>
              <w:t>smlouvy@cpzp.cz</w:t>
            </w:r>
            <w:r>
              <w:fldChar w:fldCharType="end"/>
            </w:r>
            <w:r>
              <w:rPr>
                <w:rStyle w:val="CharStyle19"/>
                <w:b/>
                <w:bCs/>
                <w:lang w:val="en-US" w:eastAsia="en-US"/>
              </w:rPr>
              <w:t xml:space="preserve"> </w:t>
            </w:r>
            <w:r>
              <w:rPr>
                <w:rStyle w:val="CharStyle19"/>
                <w:b/>
                <w:bCs/>
              </w:rPr>
              <w:t>47672234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bankovní spojení: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9"/>
                <w:b/>
                <w:bCs/>
              </w:rPr>
              <w:t>ČESKÁ NÁRODNÍ BANKA, č.ú.: 2054108761/0710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doručovací adresa: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9"/>
                <w:b/>
                <w:bCs/>
              </w:rPr>
              <w:t>ČPZP, Na Stráni 3340, 27201 Kladno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(dále jen „ČPZP"</w:t>
      </w:r>
    </w:p>
    <w:p>
      <w:pPr>
        <w:widowControl w:val="0"/>
        <w:spacing w:after="27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14"/>
        </w:rPr>
        <w:t>Smluvní strany se dohodly, že zdravotní služby poskytované pojištěncům ČPZP v zařízení Poskytovatele dle § 22 písm. e) zákona č. 48/1997 Sb., o veřejném zdravotním pojištění (dále jen „zákon"), budou v období roku 2024 hrazeny podle dále uvedených ustanovení této Dohody o ceně.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80" w:line="252" w:lineRule="auto"/>
        <w:ind w:left="640" w:right="0" w:hanging="640"/>
        <w:jc w:val="left"/>
      </w:pPr>
      <w:r>
        <w:rPr>
          <w:rStyle w:val="CharStyle14"/>
          <w:b/>
          <w:bCs/>
        </w:rPr>
        <w:t xml:space="preserve">ČI. 1. </w:t>
      </w:r>
      <w:r>
        <w:rPr>
          <w:rStyle w:val="CharStyle14"/>
        </w:rPr>
        <w:t>Poskytnuté zdravotní služby budou hrazeny v roce 2024 dle vyhlášky č. 134/1998 Sb., kterou se vydává seznam zdravotních výkonů s bodovými hodnotami, ve znění pozdějších předpisů.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640" w:right="0" w:hanging="640"/>
        <w:jc w:val="left"/>
      </w:pPr>
      <w:r>
        <w:rPr>
          <w:rStyle w:val="CharStyle14"/>
          <w:b/>
          <w:bCs/>
        </w:rPr>
        <w:t xml:space="preserve">ČI. 2. </w:t>
      </w:r>
      <w:r>
        <w:rPr>
          <w:rStyle w:val="CharStyle14"/>
        </w:rPr>
        <w:t xml:space="preserve">V případě, že podíl počtu ošetřených a ČPZP uznaných unikátních pojištěnců v hodnoceném období s některou z diagnóz C00 - C97, E10.3 - E10.7, E11.3 - E11.7, F00 - F99, G09 - G99,160 -169 podle mezinárodní klasifikace nemocí na celkovém počtu ošetřených a ČPZP uznaných unikátních pojištěnců v hodnoceném období překročí 25%, navyšuje se hodnota bodu o </w:t>
      </w:r>
      <w:r>
        <w:rPr>
          <w:rStyle w:val="CharStyle14"/>
          <w:b/>
          <w:bCs/>
        </w:rPr>
        <w:t xml:space="preserve">0,02 </w:t>
      </w:r>
      <w:r>
        <w:rPr>
          <w:rStyle w:val="CharStyle14"/>
        </w:rPr>
        <w:t>Kč.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640" w:right="0" w:hanging="640"/>
        <w:jc w:val="left"/>
      </w:pPr>
      <w:r>
        <w:rPr>
          <w:rStyle w:val="CharStyle14"/>
          <w:b/>
          <w:bCs/>
        </w:rPr>
        <w:t xml:space="preserve">ČI. 3. </w:t>
      </w:r>
      <w:r>
        <w:rPr>
          <w:rStyle w:val="CharStyle14"/>
        </w:rPr>
        <w:t>Poskytovateli hrazených služeb pro zvláštní ambulantní péči poskytované dle § 22 písm. e) zákona se stanoví výše úhrady podle seznamu výkonů úhradou za poskytnuté výkony podle seznamu výkonů s hodnotou bodu ve výši 1,34 Kč. Celková výše úhrady za výkony Poskytovateli nepřekročí částku, která se vypočte následujícím způsobem: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370" w:right="1337" w:bottom="1631" w:left="1217" w:header="942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63500" distR="63500" simplePos="0" relativeHeight="125829378" behindDoc="0" locked="0" layoutInCell="1" allowOverlap="1">
                <wp:simplePos x="0" y="0"/>
                <wp:positionH relativeFrom="page">
                  <wp:posOffset>2138680</wp:posOffset>
                </wp:positionH>
                <wp:positionV relativeFrom="paragraph">
                  <wp:posOffset>63500</wp:posOffset>
                </wp:positionV>
                <wp:extent cx="701040" cy="17081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104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>MAXU</w:t>
                            </w:r>
                            <w:r>
                              <w:rPr>
                                <w:rStyle w:val="CharStyle3"/>
                                <w:i/>
                                <w:iCs/>
                                <w:vertAlign w:val="subscript"/>
                              </w:rPr>
                              <w:t>hod</w:t>
                            </w: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68.40000000000001pt;margin-top:5.pt;width:55.200000000000003pt;height:13.450000000000001pt;z-index:-125829375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MAXU</w:t>
                      </w:r>
                      <w:r>
                        <w:rPr>
                          <w:rStyle w:val="CharStyle3"/>
                          <w:i/>
                          <w:iCs/>
                          <w:vertAlign w:val="subscript"/>
                        </w:rPr>
                        <w:t>hod</w:t>
                      </w:r>
                      <w:r>
                        <w:rPr>
                          <w:rStyle w:val="CharStyle3"/>
                          <w:i/>
                          <w:iCs/>
                        </w:rPr>
                        <w:t xml:space="preserve"> =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23"/>
          <w:rFonts w:ascii="Arial" w:eastAsia="Arial" w:hAnsi="Arial" w:cs="Arial"/>
          <w:i/>
          <w:iCs/>
          <w:sz w:val="19"/>
          <w:szCs w:val="19"/>
        </w:rPr>
        <w:t>PMPB</w:t>
      </w:r>
      <w:r>
        <w:rPr>
          <w:rStyle w:val="CharStyle23"/>
          <w:rFonts w:ascii="Arial" w:eastAsia="Arial" w:hAnsi="Arial" w:cs="Arial"/>
          <w:i/>
          <w:iCs/>
          <w:sz w:val="19"/>
          <w:szCs w:val="19"/>
          <w:vertAlign w:val="subscript"/>
        </w:rPr>
        <w:t>ref</w:t>
      </w:r>
      <w:r>
        <w:rPr>
          <w:rStyle w:val="CharStyle23"/>
        </w:rPr>
        <w:t xml:space="preserve"> x ^ </w:t>
      </w:r>
      <w:r>
        <w:rPr>
          <w:rStyle w:val="CharStyle23"/>
          <w:rFonts w:ascii="Arial" w:eastAsia="Arial" w:hAnsi="Arial" w:cs="Arial"/>
          <w:i/>
          <w:iCs/>
          <w:sz w:val="19"/>
          <w:szCs w:val="19"/>
        </w:rPr>
        <w:t>PMSt</w:t>
      </w:r>
      <w:r>
        <w:rPr>
          <w:rStyle w:val="CharStyle23"/>
        </w:rPr>
        <w:t xml:space="preserve"> X </w:t>
      </w:r>
      <w:r>
        <w:rPr>
          <w:rStyle w:val="CharStyle23"/>
          <w:rFonts w:ascii="Arial" w:eastAsia="Arial" w:hAnsi="Arial" w:cs="Arial"/>
          <w:i/>
          <w:iCs/>
          <w:sz w:val="19"/>
          <w:szCs w:val="19"/>
        </w:rPr>
        <w:t>HB</w:t>
      </w:r>
      <w:r>
        <w:rPr>
          <w:rStyle w:val="CharStyle23"/>
          <w:rFonts w:ascii="Arial" w:eastAsia="Arial" w:hAnsi="Arial" w:cs="Arial"/>
          <w:i/>
          <w:iCs/>
          <w:sz w:val="19"/>
          <w:szCs w:val="19"/>
          <w:vertAlign w:val="subscript"/>
        </w:rPr>
        <w:t>hod</w:t>
      </w:r>
      <w:r>
        <w:rPr>
          <w:rStyle w:val="CharStyle23"/>
        </w:rPr>
        <w:t xml:space="preserve"> x 1,14</w:t>
        <w:br/>
      </w:r>
      <w:r>
        <w:rPr>
          <w:rStyle w:val="CharStyle23"/>
          <w:rFonts w:ascii="Arial" w:eastAsia="Arial" w:hAnsi="Arial" w:cs="Arial"/>
          <w:i/>
          <w:iCs/>
          <w:sz w:val="19"/>
          <w:szCs w:val="19"/>
        </w:rPr>
        <w:t>i</w:t>
      </w:r>
      <w:r>
        <w:rPr>
          <w:rStyle w:val="CharStyle23"/>
        </w:rPr>
        <w:t xml:space="preserve"> = l...m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rStyle w:val="CharStyle14"/>
        </w:rPr>
        <w:t>V případě, že průměrná hodnota bodu v hodnoceném období (PHBhod), která se vypočte jako: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410" w:right="1335" w:bottom="1588" w:left="1225" w:header="982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19710" distB="237490" distL="0" distR="0" simplePos="0" relativeHeight="125829380" behindDoc="0" locked="0" layoutInCell="1" allowOverlap="1">
                <wp:simplePos x="0" y="0"/>
                <wp:positionH relativeFrom="page">
                  <wp:posOffset>3890010</wp:posOffset>
                </wp:positionH>
                <wp:positionV relativeFrom="paragraph">
                  <wp:posOffset>219710</wp:posOffset>
                </wp:positionV>
                <wp:extent cx="594360" cy="16764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436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>PM</w:t>
                            </w:r>
                            <w:r>
                              <w:rPr>
                                <w:rStyle w:val="CharStyle3"/>
                                <w:i/>
                                <w:iCs/>
                                <w:vertAlign w:val="subscript"/>
                              </w:rPr>
                              <w:t>hod</w:t>
                            </w: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6.30000000000001pt;margin-top:17.300000000000001pt;width:46.800000000000004pt;height:13.200000000000001pt;z-index:-125829373;mso-wrap-distance-left:0;mso-wrap-distance-top:17.300000000000001pt;mso-wrap-distance-right:0;mso-wrap-distance-bottom:18.6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PM</w:t>
                      </w:r>
                      <w:r>
                        <w:rPr>
                          <w:rStyle w:val="CharStyle3"/>
                          <w:i/>
                          <w:iCs/>
                          <w:vertAlign w:val="subscript"/>
                        </w:rPr>
                        <w:t>hod</w:t>
                      </w:r>
                      <w:r>
                        <w:rPr>
                          <w:rStyle w:val="CharStyle3"/>
                          <w:i/>
                          <w:iCs/>
                        </w:rPr>
                        <w:t xml:space="preserve"> =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6200" distB="0" distL="0" distR="0" simplePos="0" relativeHeight="125829382" behindDoc="0" locked="0" layoutInCell="1" allowOverlap="1">
                <wp:simplePos x="0" y="0"/>
                <wp:positionH relativeFrom="page">
                  <wp:posOffset>4487545</wp:posOffset>
                </wp:positionH>
                <wp:positionV relativeFrom="paragraph">
                  <wp:posOffset>76200</wp:posOffset>
                </wp:positionV>
                <wp:extent cx="575945" cy="54864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5945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63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>MAXU</w:t>
                            </w:r>
                            <w:r>
                              <w:rPr>
                                <w:rStyle w:val="CharStyle3"/>
                                <w:i/>
                                <w:iCs/>
                                <w:vertAlign w:val="subscript"/>
                              </w:rPr>
                              <w:t>hod</w:t>
                              <w:br/>
                            </w: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>P^hod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53.35000000000002pt;margin-top:6.pt;width:45.350000000000001pt;height:43.200000000000003pt;z-index:-125829371;mso-wrap-distance-left:0;mso-wrap-distance-top:6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63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MAXU</w:t>
                      </w:r>
                      <w:r>
                        <w:rPr>
                          <w:rStyle w:val="CharStyle3"/>
                          <w:i/>
                          <w:iCs/>
                          <w:vertAlign w:val="subscript"/>
                        </w:rPr>
                        <w:t>hod</w:t>
                        <w:br/>
                      </w:r>
                      <w:r>
                        <w:rPr>
                          <w:rStyle w:val="CharStyle3"/>
                          <w:i/>
                          <w:iCs/>
                        </w:rPr>
                        <w:t>P^hod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rStyle w:val="CharStyle14"/>
        </w:rPr>
        <w:t>bude nižší než 1,07 Kč, sjednává se celková výše úhrady jako: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3"/>
          <w:i/>
          <w:iCs/>
          <w:sz w:val="20"/>
          <w:szCs w:val="20"/>
        </w:rPr>
        <w:t>MAXU</w:t>
      </w:r>
      <w:r>
        <w:rPr>
          <w:rStyle w:val="CharStyle3"/>
          <w:i/>
          <w:iCs/>
          <w:sz w:val="20"/>
          <w:szCs w:val="20"/>
          <w:vertAlign w:val="subscript"/>
        </w:rPr>
        <w:t>hod</w:t>
      </w:r>
      <w:r>
        <w:rPr>
          <w:rStyle w:val="CharStyle3"/>
          <w:i/>
          <w:iCs/>
          <w:sz w:val="20"/>
          <w:szCs w:val="20"/>
        </w:rPr>
        <w:t xml:space="preserve"> = {PB</w:t>
      </w:r>
      <w:r>
        <w:rPr>
          <w:rStyle w:val="CharStyle3"/>
          <w:i/>
          <w:iCs/>
          <w:sz w:val="20"/>
          <w:szCs w:val="20"/>
          <w:vertAlign w:val="subscript"/>
        </w:rPr>
        <w:t>hod</w:t>
      </w:r>
      <w:r>
        <w:rPr>
          <w:rStyle w:val="CharStyle3"/>
          <w:i/>
          <w:iCs/>
          <w:sz w:val="20"/>
          <w:szCs w:val="20"/>
        </w:rPr>
        <w:t>x 1,07}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kde: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MAXUhod maximální úhrada v hodnoceném období;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136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PMSi</w:t>
        <w:tab/>
        <w:t>počet vykázaných kalendářních měsíců, v nichž byly poskytovány konkrétnímu unikátnímu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1361" w:val="left"/>
        </w:tabs>
        <w:bidi w:val="0"/>
        <w:spacing w:before="0" w:after="0" w:line="240" w:lineRule="auto"/>
        <w:ind w:left="0" w:right="0" w:firstLine="1360"/>
        <w:jc w:val="left"/>
      </w:pPr>
      <w:r>
        <w:rPr>
          <w:rStyle w:val="CharStyle14"/>
        </w:rPr>
        <w:t>pojištěnci zdravotní služby Poskytovatelem v hodnoceném období, m</w:t>
        <w:tab/>
        <w:t>počet unikátních pojištěnců ošetřených v hodnoceném období,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HBhod hodnota bodu v hodnoceném období sjednaná v ČI. 2. a ČI. 3.,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PHBhod průměrná hodnota bodu v hodnoceném období,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60" w:right="0" w:hanging="1360"/>
        <w:jc w:val="left"/>
      </w:pPr>
      <w:r>
        <w:rPr>
          <w:rStyle w:val="CharStyle14"/>
        </w:rPr>
        <w:t>PBhod celkový počet Poskytovatelem vykázaných a ČPZP uznaných bodů za hrazené služby v hodnoceném období,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60" w:right="0" w:hanging="1360"/>
        <w:jc w:val="left"/>
      </w:pPr>
      <w:r>
        <w:rPr>
          <w:rStyle w:val="CharStyle14"/>
        </w:rPr>
        <w:t>RPBref celkový počet Poskytovatelem vykázaných a ČPZP uznaných bodů za referenční období; těmito body se rozumí body přepočtené podle vyhlášky č. 134/1998 Sb., kterou se vydává seznam zdravotních výkonů s bodovými hodnotami ve znění účinném k 1.1. 2024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136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PMRi</w:t>
        <w:tab/>
        <w:t>počet vykázaných kalendářních měsíců, v nichž byly poskytovány konkrétnímu unikátnímu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1361" w:val="left"/>
        </w:tabs>
        <w:bidi w:val="0"/>
        <w:spacing w:before="0" w:after="0" w:line="240" w:lineRule="auto"/>
        <w:ind w:left="0" w:right="0" w:firstLine="1360"/>
        <w:jc w:val="left"/>
      </w:pPr>
      <w:r>
        <w:rPr>
          <w:rStyle w:val="CharStyle14"/>
        </w:rPr>
        <w:t>pojištěnci zdravotní služby Poskytovatelem v referenčním období, n</w:t>
        <w:tab/>
        <w:t>počet unikátních pojištěnců ošetřených v referenčním období,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4"/>
        </w:rPr>
        <w:t>PMPBref průměrný měsíční počet bodů na unikátního pojištěnce v referenčním období vypočtený jako: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38100" distR="38100" simplePos="0" relativeHeight="125829384" behindDoc="0" locked="0" layoutInCell="1" allowOverlap="1">
                <wp:simplePos x="0" y="0"/>
                <wp:positionH relativeFrom="page">
                  <wp:posOffset>3075940</wp:posOffset>
                </wp:positionH>
                <wp:positionV relativeFrom="paragraph">
                  <wp:posOffset>127000</wp:posOffset>
                </wp:positionV>
                <wp:extent cx="679450" cy="19177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945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>PMPB</w:t>
                            </w:r>
                            <w:r>
                              <w:rPr>
                                <w:rStyle w:val="CharStyle3"/>
                                <w:i/>
                                <w:iCs/>
                                <w:vertAlign w:val="subscript"/>
                              </w:rPr>
                              <w:t>ref</w:t>
                            </w: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42.20000000000002pt;margin-top:10.pt;width:53.5pt;height:15.1pt;z-index:-125829369;mso-wrap-distance-left:3.pt;mso-wrap-distance-right: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PMPB</w:t>
                      </w:r>
                      <w:r>
                        <w:rPr>
                          <w:rStyle w:val="CharStyle3"/>
                          <w:i/>
                          <w:iCs/>
                          <w:vertAlign w:val="subscript"/>
                        </w:rPr>
                        <w:t>ref</w:t>
                      </w:r>
                      <w:r>
                        <w:rPr>
                          <w:rStyle w:val="CharStyle3"/>
                          <w:i/>
                          <w:iCs/>
                        </w:rPr>
                        <w:t xml:space="preserve"> =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i/>
          <w:iCs/>
        </w:rPr>
        <w:t>PPBref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rFonts w:ascii="Times New Roman" w:eastAsia="Times New Roman" w:hAnsi="Times New Roman" w:cs="Times New Roman"/>
          <w:sz w:val="22"/>
          <w:szCs w:val="22"/>
        </w:rPr>
        <w:t xml:space="preserve">S </w:t>
      </w:r>
      <w:r>
        <w:rPr>
          <w:rStyle w:val="CharStyle3"/>
          <w:i/>
          <w:iCs/>
        </w:rPr>
        <w:t>™</w:t>
      </w:r>
      <w:r>
        <w:rPr>
          <w:rStyle w:val="CharStyle3"/>
          <w:i/>
          <w:iCs/>
          <w:vertAlign w:val="superscript"/>
        </w:rPr>
        <w:t>R</w:t>
      </w:r>
      <w:r>
        <w:rPr>
          <w:rStyle w:val="CharStyle3"/>
          <w:i/>
          <w:iCs/>
        </w:rPr>
        <w:t>i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260" w:line="180" w:lineRule="auto"/>
        <w:ind w:left="0" w:right="0" w:firstLine="0"/>
        <w:jc w:val="center"/>
      </w:pPr>
      <w:r>
        <w:rPr>
          <w:rStyle w:val="CharStyle23"/>
          <w:rFonts w:ascii="Arial" w:eastAsia="Arial" w:hAnsi="Arial" w:cs="Arial"/>
          <w:i/>
          <w:iCs/>
          <w:sz w:val="19"/>
          <w:szCs w:val="19"/>
        </w:rPr>
        <w:t>i</w:t>
      </w:r>
      <w:r>
        <w:rPr>
          <w:rStyle w:val="CharStyle23"/>
        </w:rPr>
        <w:t xml:space="preserve"> = l..n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Hodnoceným obdobím se rozumí rok 2024.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4"/>
        </w:rPr>
        <w:t>Referenčním obdobím se rozumí rok 2022.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rStyle w:val="CharStyle14"/>
          <w:b/>
          <w:bCs/>
        </w:rPr>
        <w:t xml:space="preserve">ČI. 4. </w:t>
      </w:r>
      <w:r>
        <w:rPr>
          <w:rStyle w:val="CharStyle14"/>
        </w:rPr>
        <w:t>U Poskytovatele, u kterého nelze výši hodnot referenčního období stanovit z důvodu, že v průběhu referenčního období hrazené služby neposkytoval, nebo vykázal v referenčním období méně než 3 kalendářní měsíce, v nichž poskytoval pojištěncům ČPZP hrazené služby, použije ČPZP pro účely výpočtu celkové výše úhrady podle ČI. 3. referenční hodnoty srovnatelných poskytovatelů.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660" w:right="0" w:firstLine="20"/>
        <w:jc w:val="left"/>
      </w:pPr>
      <w:r>
        <w:rPr>
          <w:rStyle w:val="CharStyle14"/>
        </w:rPr>
        <w:t>V případě, že Poskytovatel v referenčním období vykázal alespoň 3 kalendářní měsíce, v nichž byly pojištěnci/pojištěncům ČPZP poskytovány hrazené služby, použije ČPZP pro účely výpočtu celkové výše úhrady podle ČI. 3. údaje za ty měsíce referenčního období, kdy byly hrazené služby poskytovány.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60" w:line="252" w:lineRule="auto"/>
        <w:ind w:left="660" w:right="0" w:hanging="660"/>
        <w:jc w:val="both"/>
      </w:pPr>
      <w:r>
        <w:rPr>
          <w:rStyle w:val="CharStyle14"/>
          <w:b/>
          <w:bCs/>
        </w:rPr>
        <w:t xml:space="preserve">ČI. 5. </w:t>
      </w:r>
      <w:r>
        <w:rPr>
          <w:rStyle w:val="CharStyle14"/>
        </w:rPr>
        <w:t>Pokud Poskytovatel poskytl v hodnoceném nebo referenčním období hrazené služby 30 a méně pojištěncům ČPZP, výpočet celkové výše úhrady dle ČI. 3. se nepoužije.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660" w:right="0" w:hanging="660"/>
        <w:jc w:val="both"/>
      </w:pPr>
      <w:r>
        <w:rPr>
          <w:rStyle w:val="CharStyle14"/>
          <w:b/>
          <w:bCs/>
        </w:rPr>
        <w:t xml:space="preserve">ČI. 6. </w:t>
      </w:r>
      <w:r>
        <w:rPr>
          <w:rStyle w:val="CharStyle14"/>
        </w:rPr>
        <w:t>Pokud Poskytovatel odůvodní nezbytnost poskytnutí hrazených služeb ošetřovatelsky náročnému pojištěnci/pojištěncům ČPZP a ČPZP toto odůvodnění uzná, nebude úhrada za tyto služby zahrnutá do výpočtu podle ČI. 3. Úhrada za vykázané zdravotní služby poskytnuté ošetřovatelsky náročnému pojištěnci/pojištěnců ČPZP bude provedena výkonovým způsobem s hodnotou bodu sjednanou v ČI. 2. a ČI. 3. nad rámec úhrady vypočtené podle ČI. 3.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660" w:right="0" w:hanging="660"/>
        <w:jc w:val="left"/>
      </w:pPr>
      <w:r>
        <w:rPr>
          <w:rStyle w:val="CharStyle14"/>
          <w:b/>
          <w:bCs/>
        </w:rPr>
        <w:t xml:space="preserve">ČI. 7. </w:t>
      </w:r>
      <w:r>
        <w:rPr>
          <w:rStyle w:val="CharStyle14"/>
        </w:rPr>
        <w:t>Změny v rozsahu a struktuře poskytovaných hrazených služeb ve srovnání s referenčním obdobím se sjednají ve smlouvě mezi Poskytovatelem a ČPZP včetně souvisejících změn ve výpočtu úhrad.</w:t>
      </w:r>
      <w:r>
        <w:br w:type="page"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680" w:right="0" w:hanging="680"/>
        <w:jc w:val="left"/>
      </w:pPr>
      <w:r>
        <w:rPr>
          <w:rStyle w:val="CharStyle14"/>
          <w:b/>
          <w:bCs/>
        </w:rPr>
        <w:t xml:space="preserve">ČI. 8. </w:t>
      </w:r>
      <w:r>
        <w:rPr>
          <w:rStyle w:val="CharStyle14"/>
        </w:rPr>
        <w:t>Měsíční předběžnou úhradu poskytne ČPZP Poskytovateli do výše 1/12 128 % úhrady za referenční období. Předběžná úhrada za hodnocené období bude finančně vypořádána v rámci celkového finančního vypořádání, včetně regulačních omezení, a to nejpozději do 180 dnů po ukončení hodnoceného období.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8293" w:val="left"/>
        </w:tabs>
        <w:bidi w:val="0"/>
        <w:spacing w:before="0" w:after="280" w:line="240" w:lineRule="auto"/>
        <w:ind w:left="0" w:right="0" w:firstLine="680"/>
        <w:jc w:val="left"/>
      </w:pPr>
      <w:r>
        <w:rPr>
          <w:rStyle w:val="CharStyle14"/>
          <w:b/>
          <w:bCs/>
        </w:rPr>
        <w:t>Předběžná výše úhrady pro rok 2024 činí maximálně Kč</w:t>
        <w:tab/>
        <w:t>293 376,00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680" w:right="0" w:hanging="680"/>
        <w:jc w:val="left"/>
      </w:pPr>
      <w:r>
        <w:rPr>
          <w:rStyle w:val="CharStyle14"/>
          <w:b/>
          <w:bCs/>
        </w:rPr>
        <w:t xml:space="preserve">ČI. 9. </w:t>
      </w:r>
      <w:r>
        <w:rPr>
          <w:rStyle w:val="CharStyle14"/>
        </w:rPr>
        <w:t>Do kalendářního roku jsou zahrnuty veškeré výkony, které ČPZP obdrží v řádně zpracovaných dávkách Poskytovatelem vykázané do 31. března 2025 a ČPZP uznané do 31. května 2025. Celkové finanční vypořádání zdravotních služeb za rok 2024 bude provedeno nejpozději do 180 dnů po ukončení hodnoceného období. Bude-li tímto způsobem zjištěn přeplatek, ČPZP jej započte na úhradu nejblíže následující pohledávky anebo následujících pohledávek Poskytovateli za ČPZP. Započtení přeplatku na úhradu pohledávek Poskytovatele ČPZP Poskytovateli oznámí. Bude-li zjištěn nedoplatek, bude Poskytovateli uhrazen do 30 dnů od provedení vyúčtování. V případě nesouhlasu s vyúčtováním může Poskytovatel vznést námitky do 30 dnů po obdržení informace o vyúčtování.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" w:right="0" w:hanging="680"/>
        <w:jc w:val="left"/>
      </w:pPr>
      <w:r>
        <w:rPr>
          <w:rStyle w:val="CharStyle14"/>
          <w:b/>
          <w:bCs/>
        </w:rPr>
        <w:t xml:space="preserve">ČI. 10. </w:t>
      </w:r>
      <w:r>
        <w:rPr>
          <w:rStyle w:val="CharStyle14"/>
        </w:rPr>
        <w:t xml:space="preserve">Tato Dohoda o ceně se sjednává na dobu určitou od </w:t>
      </w:r>
      <w:r>
        <w:rPr>
          <w:rStyle w:val="CharStyle14"/>
          <w:b/>
          <w:bCs/>
        </w:rPr>
        <w:t xml:space="preserve">1.1.2024 </w:t>
      </w:r>
      <w:r>
        <w:rPr>
          <w:rStyle w:val="CharStyle14"/>
        </w:rPr>
        <w:t xml:space="preserve">do </w:t>
      </w:r>
      <w:r>
        <w:rPr>
          <w:rStyle w:val="CharStyle14"/>
          <w:b/>
          <w:bCs/>
        </w:rPr>
        <w:t xml:space="preserve">31.12.2024. </w:t>
      </w:r>
      <w:r>
        <w:rPr>
          <w:rStyle w:val="CharStyle14"/>
        </w:rPr>
        <w:t xml:space="preserve">Dohoda o ceně je vyhotovena ve dvou stejnopisech s platností originálu, z nichž každá ze smluvních stran obdrží po jednom vyhotovení, a je nedílnou součástí Smlouvy o poskytování a úhradě zdravotních služeb. Smluvní strany výslovně prohlašují, že tato Dohoda o ceně potvrzuje veškerá jejich právní jednání a ujednání učiněná mezi nimi, související s plněním této Dohody o ceně od </w:t>
      </w:r>
      <w:r>
        <w:rPr>
          <w:rStyle w:val="CharStyle14"/>
          <w:b/>
          <w:bCs/>
        </w:rPr>
        <w:t xml:space="preserve">1.1.2024 </w:t>
      </w:r>
      <w:r>
        <w:rPr>
          <w:rStyle w:val="CharStyle14"/>
        </w:rPr>
        <w:t>do zveřejnění Dohody o ceně, pokud souvisejí s předmětem Dohody o ceně, a že na takovém základě uznávají tuto Dohodu o ceně za platnou a účinnou i pro uvedené období.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680" w:right="0" w:firstLine="0"/>
        <w:jc w:val="left"/>
      </w:pPr>
      <w:r>
        <w:rPr>
          <w:rStyle w:val="CharStyle14"/>
        </w:rPr>
        <w:t>V případě, že se stane některé z ustanovení této dohody neplatným nebo neúčinným, v důsledku přijetí nové právní úpravy, bude nahrazeno ujednáním zachovávajícím zamýšlený účel, neodporujícím nové právní úpravě.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980" w:line="240" w:lineRule="auto"/>
        <w:ind w:left="0" w:right="0" w:firstLine="680"/>
        <w:jc w:val="left"/>
      </w:pPr>
      <w:r>
        <mc:AlternateContent>
          <mc:Choice Requires="wps">
            <w:drawing>
              <wp:anchor distT="0" distB="2018030" distL="160020" distR="437515" simplePos="0" relativeHeight="125829386" behindDoc="0" locked="0" layoutInCell="1" allowOverlap="1">
                <wp:simplePos x="0" y="0"/>
                <wp:positionH relativeFrom="page">
                  <wp:posOffset>4166870</wp:posOffset>
                </wp:positionH>
                <wp:positionV relativeFrom="paragraph">
                  <wp:posOffset>12700</wp:posOffset>
                </wp:positionV>
                <wp:extent cx="277495" cy="16764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749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28.10000000000002pt;margin-top:1.pt;width:21.850000000000001pt;height:13.200000000000001pt;z-index:-125829367;mso-wrap-distance-left:12.6pt;mso-wrap-distance-right:34.450000000000003pt;mso-wrap-distance-bottom:158.90000000000001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2042160" distB="0" distL="114300" distR="114300" simplePos="0" relativeHeight="125829388" behindDoc="0" locked="0" layoutInCell="1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2054860</wp:posOffset>
                </wp:positionV>
                <wp:extent cx="646430" cy="14351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643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Poskytovatel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4.5pt;margin-top:161.80000000000001pt;width:50.899999999999999pt;height:11.300000000000001pt;z-index:-125829365;mso-wrap-distance-left:9.pt;mso-wrap-distance-top:160.8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Poskytovatel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4"/>
        </w:rPr>
        <w:t>V Kladně dne 24.6.2024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520"/>
        <w:jc w:val="left"/>
      </w:pPr>
      <w:r>
        <w:rPr>
          <w:rStyle w:val="CharStyle26"/>
        </w:rPr>
        <w:t>Česká průmyslová zdravotní pojišťovna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276" w:right="1364" w:bottom="1722" w:left="1196" w:header="848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9762490</wp:posOffset>
              </wp:positionV>
              <wp:extent cx="27305" cy="1003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3.40000000000003pt;margin-top:768.70000000000005pt;width:2.1499999999999999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5">
    <w:name w:val="Základní text (5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Nadpis #1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2">
    <w:name w:val="Základní text (6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">
    <w:name w:val="Základní text_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Jiné_"/>
    <w:basedOn w:val="DefaultParagraphFont"/>
    <w:link w:val="Style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Základní text (3)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6">
    <w:name w:val="Základní text (4)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4">
    <w:name w:val="Základní text (5)"/>
    <w:basedOn w:val="Normal"/>
    <w:link w:val="CharStyle5"/>
    <w:pPr>
      <w:widowControl w:val="0"/>
      <w:shd w:val="clear" w:color="auto" w:fill="auto"/>
      <w:spacing w:after="180"/>
      <w:ind w:firstLine="64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auto"/>
      <w:ind w:left="290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1">
    <w:name w:val="Základní text (6)"/>
    <w:basedOn w:val="Normal"/>
    <w:link w:val="CharStyle12"/>
    <w:pPr>
      <w:widowControl w:val="0"/>
      <w:shd w:val="clear" w:color="auto" w:fill="auto"/>
      <w:spacing w:after="280" w:line="211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Style13">
    <w:name w:val="Základní text"/>
    <w:basedOn w:val="Normal"/>
    <w:link w:val="CharStyle14"/>
    <w:pPr>
      <w:widowControl w:val="0"/>
      <w:shd w:val="clear" w:color="auto" w:fill="auto"/>
      <w:spacing w:after="19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auto"/>
      <w:spacing w:after="19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Základní text (3)"/>
    <w:basedOn w:val="Normal"/>
    <w:link w:val="CharStyle23"/>
    <w:pPr>
      <w:widowControl w:val="0"/>
      <w:shd w:val="clear" w:color="auto" w:fill="auto"/>
      <w:spacing w:after="28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5">
    <w:name w:val="Základní text (4)"/>
    <w:basedOn w:val="Normal"/>
    <w:link w:val="CharStyle26"/>
    <w:pPr>
      <w:widowControl w:val="0"/>
      <w:shd w:val="clear" w:color="auto" w:fill="auto"/>
      <w:spacing w:after="140"/>
      <w:ind w:firstLine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> </dc:subject>
  <dc:creator> </dc:creator>
  <cp:keywords> </cp:keywords>
</cp:coreProperties>
</file>